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9EF5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rPr>
        <w:t>青海省全民医疗保障“十</w:t>
      </w:r>
      <w:r>
        <w:rPr>
          <w:rFonts w:hint="eastAsia" w:ascii="方正小标宋简体" w:hAnsi="方正小标宋简体" w:eastAsia="方正小标宋简体" w:cs="方正小标宋简体"/>
          <w:sz w:val="44"/>
          <w:szCs w:val="44"/>
          <w:lang w:val="en-US" w:eastAsia="zh-CN"/>
        </w:rPr>
        <w:t>五</w:t>
      </w:r>
      <w:r>
        <w:rPr>
          <w:rFonts w:hint="eastAsia" w:ascii="方正小标宋简体" w:hAnsi="方正小标宋简体" w:eastAsia="方正小标宋简体" w:cs="方正小标宋简体"/>
          <w:sz w:val="44"/>
          <w:szCs w:val="44"/>
        </w:rPr>
        <w:t>五”</w:t>
      </w:r>
      <w:r>
        <w:rPr>
          <w:rFonts w:hint="eastAsia" w:ascii="方正小标宋简体" w:hAnsi="方正小标宋简体" w:eastAsia="方正小标宋简体" w:cs="方正小标宋简体"/>
          <w:sz w:val="44"/>
          <w:szCs w:val="44"/>
          <w:lang w:val="en-US" w:eastAsia="zh-CN"/>
        </w:rPr>
        <w:t>规划</w:t>
      </w:r>
    </w:p>
    <w:p w14:paraId="369DC9C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征求意见稿</w:t>
      </w:r>
      <w:r>
        <w:rPr>
          <w:rFonts w:hint="eastAsia" w:ascii="楷体" w:hAnsi="楷体" w:eastAsia="楷体" w:cs="楷体"/>
          <w:sz w:val="32"/>
          <w:szCs w:val="32"/>
          <w:lang w:eastAsia="zh-CN"/>
        </w:rPr>
        <w:t>）</w:t>
      </w:r>
    </w:p>
    <w:p w14:paraId="5C24EAC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eastAsia="zh-CN"/>
        </w:rPr>
      </w:pPr>
    </w:p>
    <w:p w14:paraId="4DC8E85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十五五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时期，是进一步健全多层次医疗保障体系、提升医保治理现代化水平的关键阶段，</w:t>
      </w:r>
      <w:r>
        <w:rPr>
          <w:rFonts w:hint="eastAsia" w:ascii="仿宋_GB2312" w:hAnsi="仿宋_GB2312" w:eastAsia="仿宋_GB2312" w:cs="仿宋_GB2312"/>
          <w:sz w:val="32"/>
          <w:szCs w:val="32"/>
        </w:rPr>
        <w:t>为推动</w:t>
      </w:r>
      <w:r>
        <w:rPr>
          <w:rFonts w:hint="eastAsia" w:ascii="仿宋_GB2312" w:hAnsi="仿宋_GB2312" w:eastAsia="仿宋_GB2312" w:cs="仿宋_GB2312"/>
          <w:sz w:val="32"/>
          <w:szCs w:val="32"/>
          <w:lang w:val="en-US" w:eastAsia="zh-CN"/>
        </w:rPr>
        <w:t>我省</w:t>
      </w:r>
      <w:r>
        <w:rPr>
          <w:rFonts w:hint="eastAsia" w:ascii="仿宋_GB2312" w:hAnsi="仿宋_GB2312" w:eastAsia="仿宋_GB2312" w:cs="仿宋_GB2312"/>
          <w:sz w:val="32"/>
          <w:szCs w:val="32"/>
        </w:rPr>
        <w:t>医疗保障</w:t>
      </w:r>
      <w:r>
        <w:rPr>
          <w:rFonts w:hint="eastAsia" w:ascii="仿宋_GB2312" w:hAnsi="仿宋_GB2312" w:eastAsia="仿宋_GB2312" w:cs="仿宋_GB2312"/>
          <w:sz w:val="32"/>
          <w:szCs w:val="32"/>
          <w:lang w:val="en-US" w:eastAsia="zh-CN"/>
        </w:rPr>
        <w:t>事业</w:t>
      </w:r>
      <w:r>
        <w:rPr>
          <w:rFonts w:hint="eastAsia" w:ascii="仿宋_GB2312" w:hAnsi="仿宋_GB2312" w:eastAsia="仿宋_GB2312" w:cs="仿宋_GB2312"/>
          <w:sz w:val="32"/>
          <w:szCs w:val="32"/>
        </w:rPr>
        <w:t>高质量发展，根据《全民医疗保障“十五五”规划》</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《青海省国民经济和社会发展第十五个五年规划纲要》</w:t>
      </w:r>
      <w:r>
        <w:rPr>
          <w:rFonts w:hint="eastAsia" w:ascii="仿宋_GB2312" w:hAnsi="仿宋_GB2312" w:eastAsia="仿宋_GB2312" w:cs="仿宋_GB2312"/>
          <w:sz w:val="32"/>
          <w:szCs w:val="32"/>
          <w:lang w:val="en-US" w:eastAsia="zh-CN"/>
        </w:rPr>
        <w:t>，制定</w:t>
      </w:r>
      <w:r>
        <w:rPr>
          <w:rFonts w:hint="eastAsia" w:ascii="仿宋_GB2312" w:hAnsi="仿宋_GB2312" w:eastAsia="仿宋_GB2312" w:cs="仿宋_GB2312"/>
          <w:sz w:val="32"/>
          <w:szCs w:val="32"/>
        </w:rPr>
        <w:t>本规划。</w:t>
      </w:r>
    </w:p>
    <w:p w14:paraId="6E0C990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一、总体要求</w:t>
      </w:r>
    </w:p>
    <w:p w14:paraId="07E696F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坚持以习近平新时代中国特色社会主义思想为指导，深入贯彻党的二十大和二十届历次全会精神，认真落实习近平总书记关于</w:t>
      </w:r>
      <w:r>
        <w:rPr>
          <w:rFonts w:hint="eastAsia" w:ascii="仿宋_GB2312" w:hAnsi="仿宋_GB2312" w:eastAsia="仿宋_GB2312" w:cs="仿宋_GB2312"/>
          <w:sz w:val="32"/>
          <w:szCs w:val="32"/>
          <w:lang w:val="en-US" w:eastAsia="zh-CN"/>
        </w:rPr>
        <w:t>医疗保障</w:t>
      </w:r>
      <w:r>
        <w:rPr>
          <w:rFonts w:hint="eastAsia" w:ascii="仿宋_GB2312" w:hAnsi="仿宋_GB2312" w:eastAsia="仿宋_GB2312" w:cs="仿宋_GB2312"/>
          <w:sz w:val="32"/>
          <w:szCs w:val="32"/>
        </w:rPr>
        <w:t>工作的重要论述和对青海工作重要讲话指示批示精神，全面落实省第十四次党代会和省委十四届历次全会决策部署，紧扣全省“十五五”规划发展大局，坚持以人民健康为中心，锚定解除各族群众疾病医疗后顾之忧的使命任务。遵循全覆盖、保基本、多层次、可持续原则，统筹高质量发展和基金安全，健全多层次医疗保障体系，深化</w:t>
      </w:r>
      <w:r>
        <w:rPr>
          <w:rFonts w:hint="eastAsia" w:ascii="仿宋_GB2312" w:hAnsi="仿宋_GB2312" w:eastAsia="仿宋_GB2312" w:cs="仿宋_GB2312"/>
          <w:sz w:val="32"/>
          <w:szCs w:val="32"/>
          <w:lang w:eastAsia="zh-CN"/>
        </w:rPr>
        <w:t>“三医”协同</w:t>
      </w:r>
      <w:r>
        <w:rPr>
          <w:rFonts w:hint="eastAsia" w:ascii="仿宋_GB2312" w:hAnsi="仿宋_GB2312" w:eastAsia="仿宋_GB2312" w:cs="仿宋_GB2312"/>
          <w:sz w:val="32"/>
          <w:szCs w:val="32"/>
        </w:rPr>
        <w:t>改革，精准做好重点群体待遇保障，推进医保精细化治理，着力实现参保更加全面、待遇更加均衡、服务更加便捷，为现代化新青海建设筑牢坚实医保民生</w:t>
      </w:r>
      <w:r>
        <w:rPr>
          <w:rFonts w:hint="eastAsia" w:ascii="仿宋_GB2312" w:hAnsi="仿宋_GB2312" w:eastAsia="仿宋_GB2312" w:cs="仿宋_GB2312"/>
          <w:sz w:val="32"/>
          <w:szCs w:val="32"/>
          <w:lang w:val="en-US" w:eastAsia="zh-CN"/>
        </w:rPr>
        <w:t>保障</w:t>
      </w:r>
      <w:r>
        <w:rPr>
          <w:rFonts w:hint="eastAsia" w:ascii="仿宋_GB2312" w:hAnsi="仿宋_GB2312" w:eastAsia="仿宋_GB2312" w:cs="仿宋_GB2312"/>
          <w:sz w:val="32"/>
          <w:szCs w:val="32"/>
        </w:rPr>
        <w:t>。</w:t>
      </w:r>
    </w:p>
    <w:p w14:paraId="22F8901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到2030年，持续推进公平医保、法治医保、安全医保、数智医保、协同医保、科学医保建设取得阶段性成效。立足</w:t>
      </w:r>
      <w:r>
        <w:rPr>
          <w:rFonts w:hint="eastAsia" w:ascii="仿宋_GB2312" w:hAnsi="仿宋_GB2312" w:eastAsia="仿宋_GB2312" w:cs="仿宋_GB2312"/>
          <w:sz w:val="32"/>
          <w:szCs w:val="32"/>
          <w:lang w:val="en-US" w:eastAsia="zh-CN"/>
        </w:rPr>
        <w:t>省情</w:t>
      </w:r>
      <w:r>
        <w:rPr>
          <w:rFonts w:hint="default" w:ascii="仿宋_GB2312" w:hAnsi="仿宋_GB2312" w:eastAsia="仿宋_GB2312" w:cs="仿宋_GB2312"/>
          <w:sz w:val="32"/>
          <w:szCs w:val="32"/>
          <w:lang w:val="en-US" w:eastAsia="zh-CN"/>
        </w:rPr>
        <w:t>实际，实现公平医保普惠均衡，持续提升基本医保公共服务可及性。健全完善法治医保，基本建成医疗保障法治体系，提升依法行政水平，规范医保行政执法。夯实安全医保根基，强化医保基金精细化管理，保障基金安全可持续运行，全面筑牢安全屏障。打造数智医保，广泛运用大数据、人工智能，实现管理精细化、服务精准化。构建协同医保格局，健全“三医”协同治理机制，提升医保基金使用效益。加快建设科学医保，推进医保标准化建设，完善场景验证体系，基本建成全流程全链条全方位医保科学体系。</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9"/>
        <w:gridCol w:w="2475"/>
        <w:gridCol w:w="2187"/>
      </w:tblGrid>
      <w:tr w14:paraId="00982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61" w:type="dxa"/>
            <w:gridSpan w:val="3"/>
          </w:tcPr>
          <w:p w14:paraId="73C548F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0"/>
                <w:szCs w:val="30"/>
                <w:vertAlign w:val="baseline"/>
              </w:rPr>
            </w:pPr>
            <w:r>
              <w:rPr>
                <w:rFonts w:hint="eastAsia" w:ascii="黑体" w:hAnsi="黑体" w:eastAsia="黑体" w:cs="黑体"/>
                <w:sz w:val="30"/>
                <w:szCs w:val="30"/>
                <w:vertAlign w:val="baseline"/>
              </w:rPr>
              <w:t>“十五五”时期全民医疗保障发展主要指标</w:t>
            </w:r>
          </w:p>
        </w:tc>
      </w:tr>
      <w:tr w14:paraId="2386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9" w:type="dxa"/>
          </w:tcPr>
          <w:p w14:paraId="661090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主要指标</w:t>
            </w:r>
          </w:p>
        </w:tc>
        <w:tc>
          <w:tcPr>
            <w:tcW w:w="2475" w:type="dxa"/>
          </w:tcPr>
          <w:p w14:paraId="4BCBD23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2025年现状</w:t>
            </w:r>
          </w:p>
        </w:tc>
        <w:tc>
          <w:tcPr>
            <w:tcW w:w="2187" w:type="dxa"/>
          </w:tcPr>
          <w:p w14:paraId="2330508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2030年目标</w:t>
            </w:r>
          </w:p>
        </w:tc>
      </w:tr>
      <w:tr w14:paraId="4D2D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9" w:type="dxa"/>
            <w:vAlign w:val="center"/>
          </w:tcPr>
          <w:p w14:paraId="205A5E7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rPr>
              <w:t>基本医疗保险参保</w:t>
            </w:r>
            <w:r>
              <w:rPr>
                <w:rFonts w:hint="eastAsia" w:ascii="仿宋_GB2312" w:hAnsi="仿宋_GB2312" w:eastAsia="仿宋_GB2312" w:cs="仿宋_GB2312"/>
                <w:sz w:val="24"/>
                <w:szCs w:val="24"/>
                <w:vertAlign w:val="baseline"/>
                <w:lang w:val="en-US" w:eastAsia="zh-CN"/>
              </w:rPr>
              <w:t>数（万人）</w:t>
            </w:r>
          </w:p>
        </w:tc>
        <w:tc>
          <w:tcPr>
            <w:tcW w:w="2475" w:type="dxa"/>
            <w:vAlign w:val="center"/>
          </w:tcPr>
          <w:p w14:paraId="6481A5F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544</w:t>
            </w:r>
          </w:p>
        </w:tc>
        <w:tc>
          <w:tcPr>
            <w:tcW w:w="2187" w:type="dxa"/>
            <w:vAlign w:val="center"/>
          </w:tcPr>
          <w:p w14:paraId="70CF9CC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544左右</w:t>
            </w:r>
          </w:p>
        </w:tc>
      </w:tr>
      <w:tr w14:paraId="6504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9" w:type="dxa"/>
            <w:vAlign w:val="center"/>
          </w:tcPr>
          <w:p w14:paraId="300DB14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长期护理保险制度覆盖统筹地区数量（个）</w:t>
            </w:r>
          </w:p>
        </w:tc>
        <w:tc>
          <w:tcPr>
            <w:tcW w:w="2475" w:type="dxa"/>
            <w:vAlign w:val="center"/>
          </w:tcPr>
          <w:p w14:paraId="1FF23F6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0</w:t>
            </w:r>
          </w:p>
        </w:tc>
        <w:tc>
          <w:tcPr>
            <w:tcW w:w="2187" w:type="dxa"/>
            <w:vAlign w:val="center"/>
          </w:tcPr>
          <w:p w14:paraId="2D83E75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覆盖所有统筹地区</w:t>
            </w:r>
          </w:p>
        </w:tc>
      </w:tr>
      <w:tr w14:paraId="154E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9" w:type="dxa"/>
            <w:vAlign w:val="center"/>
          </w:tcPr>
          <w:p w14:paraId="2283910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基本医疗保险目录内住院费用基金支付比例</w:t>
            </w:r>
          </w:p>
        </w:tc>
        <w:tc>
          <w:tcPr>
            <w:tcW w:w="2475" w:type="dxa"/>
            <w:vAlign w:val="center"/>
          </w:tcPr>
          <w:p w14:paraId="45B1E11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职工基本医疗保险80%左右，城乡居民基本医疗保险70%左右</w:t>
            </w:r>
          </w:p>
        </w:tc>
        <w:tc>
          <w:tcPr>
            <w:tcW w:w="2187" w:type="dxa"/>
            <w:vAlign w:val="center"/>
          </w:tcPr>
          <w:p w14:paraId="30B01D5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保持稳定</w:t>
            </w:r>
          </w:p>
        </w:tc>
      </w:tr>
      <w:tr w14:paraId="29A4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9" w:type="dxa"/>
            <w:vAlign w:val="center"/>
          </w:tcPr>
          <w:p w14:paraId="622357A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职工基本医疗保险统筹基金累计结余可支付月数</w:t>
            </w:r>
            <w:r>
              <w:rPr>
                <w:rFonts w:hint="eastAsia" w:ascii="宋体" w:hAnsi="宋体" w:eastAsia="宋体" w:cs="宋体"/>
                <w:sz w:val="24"/>
                <w:szCs w:val="24"/>
                <w:vertAlign w:val="baseline"/>
              </w:rPr>
              <w:t>¹</w:t>
            </w:r>
          </w:p>
        </w:tc>
        <w:tc>
          <w:tcPr>
            <w:tcW w:w="2475" w:type="dxa"/>
            <w:vAlign w:val="center"/>
          </w:tcPr>
          <w:p w14:paraId="70F4208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36个月</w:t>
            </w:r>
          </w:p>
        </w:tc>
        <w:tc>
          <w:tcPr>
            <w:tcW w:w="2187" w:type="dxa"/>
            <w:vAlign w:val="center"/>
          </w:tcPr>
          <w:p w14:paraId="46CD77C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安全线以上</w:t>
            </w:r>
          </w:p>
        </w:tc>
      </w:tr>
      <w:tr w14:paraId="4876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9" w:type="dxa"/>
            <w:vAlign w:val="center"/>
          </w:tcPr>
          <w:p w14:paraId="0699613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城乡居民基本医疗保险基金累计结余可支付月数</w:t>
            </w:r>
          </w:p>
        </w:tc>
        <w:tc>
          <w:tcPr>
            <w:tcW w:w="2475" w:type="dxa"/>
            <w:vAlign w:val="center"/>
          </w:tcPr>
          <w:p w14:paraId="1F4823F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9个月</w:t>
            </w:r>
          </w:p>
        </w:tc>
        <w:tc>
          <w:tcPr>
            <w:tcW w:w="2187" w:type="dxa"/>
            <w:vAlign w:val="center"/>
          </w:tcPr>
          <w:p w14:paraId="0DAED77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总体保持在安全水平</w:t>
            </w:r>
          </w:p>
        </w:tc>
      </w:tr>
      <w:tr w14:paraId="410D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9" w:type="dxa"/>
            <w:vAlign w:val="center"/>
          </w:tcPr>
          <w:p w14:paraId="0C6ACA7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公立医疗机构通过省级平台采购药品（不含中药饮片）和高值医用耗材金额占全部采购金额的比例</w:t>
            </w:r>
          </w:p>
        </w:tc>
        <w:tc>
          <w:tcPr>
            <w:tcW w:w="2475" w:type="dxa"/>
            <w:vAlign w:val="center"/>
          </w:tcPr>
          <w:p w14:paraId="135CFB9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药品90%，高值医用耗材80%</w:t>
            </w:r>
          </w:p>
        </w:tc>
        <w:tc>
          <w:tcPr>
            <w:tcW w:w="2187" w:type="dxa"/>
            <w:vAlign w:val="center"/>
          </w:tcPr>
          <w:p w14:paraId="0ED6AFF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保持稳定</w:t>
            </w:r>
          </w:p>
        </w:tc>
      </w:tr>
      <w:tr w14:paraId="77E7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9" w:type="dxa"/>
            <w:vAlign w:val="center"/>
          </w:tcPr>
          <w:p w14:paraId="2300FCD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即时结算基本医疗保险基金支出覆盖率</w:t>
            </w:r>
          </w:p>
        </w:tc>
        <w:tc>
          <w:tcPr>
            <w:tcW w:w="2475" w:type="dxa"/>
            <w:vAlign w:val="center"/>
          </w:tcPr>
          <w:p w14:paraId="64BC4CE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15家试点医药机构</w:t>
            </w:r>
          </w:p>
        </w:tc>
        <w:tc>
          <w:tcPr>
            <w:tcW w:w="2187" w:type="dxa"/>
            <w:vAlign w:val="center"/>
          </w:tcPr>
          <w:p w14:paraId="7FBAE33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80%以上</w:t>
            </w:r>
          </w:p>
        </w:tc>
      </w:tr>
      <w:tr w14:paraId="3ABA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9" w:type="dxa"/>
            <w:vAlign w:val="center"/>
          </w:tcPr>
          <w:p w14:paraId="44C0DAF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生育津贴直接发放到个人</w:t>
            </w:r>
          </w:p>
        </w:tc>
        <w:tc>
          <w:tcPr>
            <w:tcW w:w="2475" w:type="dxa"/>
            <w:vAlign w:val="center"/>
          </w:tcPr>
          <w:p w14:paraId="63CD111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统筹地区</w:t>
            </w:r>
            <w:r>
              <w:rPr>
                <w:rFonts w:hint="eastAsia" w:ascii="仿宋_GB2312" w:hAnsi="仿宋_GB2312" w:eastAsia="仿宋_GB2312" w:cs="仿宋_GB2312"/>
                <w:sz w:val="24"/>
                <w:szCs w:val="24"/>
                <w:vertAlign w:val="baseline"/>
                <w:lang w:val="en-US" w:eastAsia="zh-CN"/>
              </w:rPr>
              <w:t>全部</w:t>
            </w:r>
            <w:r>
              <w:rPr>
                <w:rFonts w:hint="eastAsia" w:ascii="仿宋_GB2312" w:hAnsi="仿宋_GB2312" w:eastAsia="仿宋_GB2312" w:cs="仿宋_GB2312"/>
                <w:sz w:val="24"/>
                <w:szCs w:val="24"/>
                <w:vertAlign w:val="baseline"/>
              </w:rPr>
              <w:t>实现</w:t>
            </w:r>
          </w:p>
        </w:tc>
        <w:tc>
          <w:tcPr>
            <w:tcW w:w="2187" w:type="dxa"/>
            <w:vAlign w:val="center"/>
          </w:tcPr>
          <w:p w14:paraId="2E4A57C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统筹地区全部实现</w:t>
            </w:r>
          </w:p>
        </w:tc>
      </w:tr>
    </w:tbl>
    <w:p w14:paraId="38C0687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注：①职工基本医疗保险统筹基金累计结余可支付月数是指统筹基金累计结余与下年度职工基本医疗保险统筹基金月平均预算支出的比例。如没有下年度基金预算支出金额，该指标使用本年度统筹基金预算支出金额。根据国家医保局、财政部、国家税务总局基本医疗保障基金运行有关政策，职工基本医疗保险统筹基金累计结余可支付月数安全线为18个月。</w:t>
      </w:r>
    </w:p>
    <w:p w14:paraId="3532789C">
      <w:pPr>
        <w:keepNext w:val="0"/>
        <w:keepLines w:val="0"/>
        <w:pageBreakBefore w:val="0"/>
        <w:widowControl w:val="0"/>
        <w:kinsoku/>
        <w:wordWrap/>
        <w:overflowPunct/>
        <w:topLinePunct w:val="0"/>
        <w:bidi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二、健全公平可持续的“1+3+N”多层次医疗保障体系</w:t>
      </w:r>
    </w:p>
    <w:p w14:paraId="5145BB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（一）持续完善基本医疗保险制度。</w:t>
      </w:r>
    </w:p>
    <w:p w14:paraId="759DF5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巩固全民医保参保工作成效。</w:t>
      </w:r>
      <w:r>
        <w:rPr>
          <w:rFonts w:hint="eastAsia" w:ascii="仿宋_GB2312" w:hAnsi="仿宋_GB2312" w:eastAsia="仿宋_GB2312" w:cs="仿宋_GB2312"/>
          <w:sz w:val="32"/>
          <w:szCs w:val="32"/>
          <w:lang w:val="en-US" w:eastAsia="zh-CN"/>
        </w:rPr>
        <w:t>巩固拓展基本医疗保险覆盖面，深化跨部门常态化数据比对，督促企业依法落实职工医保参保缴费。针对新业态从业者、流动人口、新生儿、学生等群体，优化参保登记缴费服务，动态监测帮扶低保、特困、符合条件的防止返贫致贫等困难群体，做到应保尽保。构建政府主导、多方协同治理格局，将参保质量纳入地方考核，压实属地责任。完善部门信息共享联动，健全参保激励约束机制，推进缴费便利化改革，引导群众主动连续参保，切实增强参保稳定性。</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604B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42E6358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vertAlign w:val="baseline"/>
              </w:rPr>
            </w:pPr>
            <w:r>
              <w:rPr>
                <w:rFonts w:hint="eastAsia" w:ascii="黑体" w:hAnsi="黑体" w:eastAsia="黑体" w:cs="黑体"/>
                <w:sz w:val="30"/>
                <w:szCs w:val="30"/>
                <w:vertAlign w:val="baseline"/>
              </w:rPr>
              <w:t>民生实事</w:t>
            </w:r>
            <w:r>
              <w:rPr>
                <w:rFonts w:hint="eastAsia" w:ascii="黑体" w:hAnsi="黑体" w:eastAsia="黑体" w:cs="黑体"/>
                <w:sz w:val="30"/>
                <w:szCs w:val="30"/>
                <w:vertAlign w:val="baseline"/>
                <w:lang w:val="en-US" w:eastAsia="zh-CN"/>
              </w:rPr>
              <w:t xml:space="preserve">1   </w:t>
            </w:r>
            <w:r>
              <w:rPr>
                <w:rFonts w:hint="eastAsia" w:ascii="黑体" w:hAnsi="黑体" w:eastAsia="黑体" w:cs="黑体"/>
                <w:sz w:val="30"/>
                <w:szCs w:val="30"/>
                <w:vertAlign w:val="baseline"/>
              </w:rPr>
              <w:t>全民参保巩固提质</w:t>
            </w:r>
          </w:p>
        </w:tc>
      </w:tr>
      <w:tr w14:paraId="11BE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3A186F98">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深化“一人一档”全民参保数据库应用。依托国家医疗保障信息平台，</w:t>
            </w:r>
            <w:r>
              <w:rPr>
                <w:rFonts w:hint="eastAsia" w:ascii="仿宋_GB2312" w:hAnsi="仿宋_GB2312" w:eastAsia="仿宋_GB2312" w:cs="仿宋_GB2312"/>
                <w:sz w:val="24"/>
                <w:szCs w:val="24"/>
                <w:vertAlign w:val="baseline"/>
                <w:lang w:val="en-US" w:eastAsia="zh-CN"/>
              </w:rPr>
              <w:t>强化</w:t>
            </w:r>
            <w:r>
              <w:rPr>
                <w:rFonts w:hint="eastAsia" w:ascii="仿宋_GB2312" w:hAnsi="仿宋_GB2312" w:eastAsia="仿宋_GB2312" w:cs="仿宋_GB2312"/>
                <w:sz w:val="24"/>
                <w:szCs w:val="24"/>
                <w:vertAlign w:val="baseline"/>
              </w:rPr>
              <w:t>参保信息管理，</w:t>
            </w:r>
            <w:r>
              <w:rPr>
                <w:rFonts w:hint="eastAsia" w:ascii="仿宋_GB2312" w:hAnsi="仿宋_GB2312" w:eastAsia="仿宋_GB2312" w:cs="仿宋_GB2312"/>
                <w:sz w:val="24"/>
                <w:szCs w:val="24"/>
                <w:vertAlign w:val="baseline"/>
                <w:lang w:val="en-US" w:eastAsia="zh-CN"/>
              </w:rPr>
              <w:t>实现</w:t>
            </w:r>
            <w:r>
              <w:rPr>
                <w:rFonts w:hint="eastAsia" w:ascii="仿宋_GB2312" w:hAnsi="仿宋_GB2312" w:eastAsia="仿宋_GB2312" w:cs="仿宋_GB2312"/>
                <w:sz w:val="24"/>
                <w:szCs w:val="24"/>
                <w:vertAlign w:val="baseline"/>
              </w:rPr>
              <w:t>数据赋能精准扩面</w:t>
            </w: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rPr>
              <w:t>优化参保关系衔接模式。</w:t>
            </w:r>
          </w:p>
          <w:p w14:paraId="7D62B62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2.完善各级</w:t>
            </w:r>
            <w:r>
              <w:rPr>
                <w:rFonts w:hint="eastAsia" w:ascii="仿宋_GB2312" w:hAnsi="仿宋_GB2312" w:eastAsia="仿宋_GB2312" w:cs="仿宋_GB2312"/>
                <w:sz w:val="24"/>
                <w:szCs w:val="24"/>
                <w:vertAlign w:val="baseline"/>
                <w:lang w:eastAsia="zh-CN"/>
              </w:rPr>
              <w:t>政府</w:t>
            </w:r>
            <w:r>
              <w:rPr>
                <w:rFonts w:hint="eastAsia" w:ascii="仿宋_GB2312" w:hAnsi="仿宋_GB2312" w:eastAsia="仿宋_GB2312" w:cs="仿宋_GB2312"/>
                <w:sz w:val="24"/>
                <w:szCs w:val="24"/>
                <w:vertAlign w:val="baseline"/>
              </w:rPr>
              <w:t>、各部门协同参与的全民参保工作推动机制。落实持居住证参加基本医疗保险政策。</w:t>
            </w:r>
          </w:p>
          <w:p w14:paraId="733AE13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3.鼓励支持灵活就业人员、新就业形态人员参加职工基本医疗保险。持续提高职工基本医疗保险的参保人数占比。</w:t>
            </w:r>
          </w:p>
          <w:p w14:paraId="2D52EC7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24"/>
                <w:szCs w:val="24"/>
                <w:vertAlign w:val="baseline"/>
                <w:lang w:val="en-US" w:eastAsia="zh-CN"/>
              </w:rPr>
              <w:t>4</w:t>
            </w:r>
            <w:r>
              <w:rPr>
                <w:rFonts w:hint="eastAsia" w:ascii="仿宋_GB2312" w:hAnsi="仿宋_GB2312" w:eastAsia="仿宋_GB2312" w:cs="仿宋_GB2312"/>
                <w:sz w:val="24"/>
                <w:szCs w:val="24"/>
                <w:vertAlign w:val="baseline"/>
              </w:rPr>
              <w:t>.</w:t>
            </w:r>
            <w:r>
              <w:rPr>
                <w:rFonts w:hint="eastAsia" w:ascii="仿宋_GB2312" w:hAnsi="仿宋_GB2312" w:eastAsia="仿宋_GB2312" w:cs="仿宋_GB2312"/>
                <w:sz w:val="24"/>
                <w:szCs w:val="24"/>
                <w:vertAlign w:val="baseline"/>
                <w:lang w:val="en-US" w:eastAsia="zh-CN"/>
              </w:rPr>
              <w:t>持续</w:t>
            </w:r>
            <w:r>
              <w:rPr>
                <w:rFonts w:hint="eastAsia" w:ascii="仿宋_GB2312" w:hAnsi="仿宋_GB2312" w:eastAsia="仿宋_GB2312" w:cs="仿宋_GB2312"/>
                <w:sz w:val="24"/>
                <w:szCs w:val="24"/>
                <w:vertAlign w:val="baseline"/>
              </w:rPr>
              <w:t>落实新生儿“出生一件事”集成化办理</w:t>
            </w:r>
            <w:r>
              <w:rPr>
                <w:rFonts w:hint="eastAsia" w:ascii="仿宋_GB2312" w:hAnsi="仿宋_GB2312" w:eastAsia="仿宋_GB2312" w:cs="仿宋_GB2312"/>
                <w:sz w:val="24"/>
                <w:szCs w:val="24"/>
                <w:vertAlign w:val="baseline"/>
                <w:lang w:val="en-US" w:eastAsia="zh-CN"/>
              </w:rPr>
              <w:t>服务</w:t>
            </w:r>
            <w:r>
              <w:rPr>
                <w:rFonts w:hint="eastAsia" w:ascii="仿宋_GB2312" w:hAnsi="仿宋_GB2312" w:eastAsia="仿宋_GB2312" w:cs="仿宋_GB2312"/>
                <w:sz w:val="24"/>
                <w:szCs w:val="24"/>
                <w:vertAlign w:val="baseline"/>
              </w:rPr>
              <w:t>。</w:t>
            </w:r>
          </w:p>
        </w:tc>
      </w:tr>
    </w:tbl>
    <w:p w14:paraId="3BE2FA3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优化筹资保障机制。</w:t>
      </w:r>
      <w:r>
        <w:rPr>
          <w:rFonts w:hint="eastAsia" w:ascii="仿宋_GB2312" w:hAnsi="仿宋_GB2312" w:eastAsia="仿宋_GB2312" w:cs="仿宋_GB2312"/>
          <w:sz w:val="32"/>
          <w:szCs w:val="32"/>
          <w:lang w:val="en-US" w:eastAsia="zh-CN"/>
        </w:rPr>
        <w:t>健全筹资分担机制，规范职工医保缴费费率，均衡单位和个人缴费责任。居民医保缴费与经济发展、居民收入水平相衔接，保持财政补助与个人缴费合理比例，对特困、低保、符合条件的防止返贫致贫等困难群体实施分类参保资助。拓宽筹资渠道，鼓励引导社会力量对城乡居民参保缴费给予扶持或资助。落实职工医保个人账户跨省共济，支持个人账户用于亲属参保缴费，稳步推进职工医保省级统筹。</w:t>
      </w:r>
    </w:p>
    <w:p w14:paraId="27BB002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健全公平适度待遇保障机制。</w:t>
      </w:r>
      <w:r>
        <w:rPr>
          <w:rFonts w:hint="eastAsia" w:ascii="仿宋_GB2312" w:hAnsi="仿宋_GB2312" w:eastAsia="仿宋_GB2312" w:cs="仿宋_GB2312"/>
          <w:sz w:val="32"/>
          <w:szCs w:val="32"/>
          <w:lang w:val="en-US" w:eastAsia="zh-CN"/>
        </w:rPr>
        <w:t>坚守基本医保“保基本”定位，厘清基本医保、大病保险、医疗救助及其他保障的制度功能边界。严格执行国家医保待遇清单，统一制度框架、支付项目和待遇标准。结合经济社会发展与基金承受能力，建立待遇动态调整机制。稳固职工、居民医保门诊及住院待遇水平，报销政策向基层倾斜，完善差异化支付政策。规范统一门诊慢特病保障制度，持续推进门诊共济保障机制。</w:t>
      </w:r>
    </w:p>
    <w:p w14:paraId="20BF15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（二）提升大病保险和医疗救助精准保障水平。</w:t>
      </w:r>
    </w:p>
    <w:p w14:paraId="7CC0D1B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规范大病保险制度。</w:t>
      </w:r>
      <w:r>
        <w:rPr>
          <w:rFonts w:hint="eastAsia" w:ascii="仿宋_GB2312" w:hAnsi="仿宋_GB2312" w:eastAsia="仿宋_GB2312" w:cs="仿宋_GB2312"/>
          <w:sz w:val="32"/>
          <w:szCs w:val="32"/>
          <w:lang w:val="en-US" w:eastAsia="zh-CN"/>
        </w:rPr>
        <w:t>对标国家政策，调整完善城乡居民大病保险制度，合理确定大病保险筹资标准，规范保障范围、起付线、支付比例、支付限额等。完善对符合规定的困难群体倾斜保障政策。整合职工大额医疗费用补助和职工大病保险制度，执行全省统一规范的职工大额医疗费用补助制度。规范大病保险资金使用管理，强化大病保险承办机构的日常管理与监督。</w:t>
      </w:r>
    </w:p>
    <w:p w14:paraId="0D11B8C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夯实医疗救助托底。</w:t>
      </w:r>
      <w:r>
        <w:rPr>
          <w:rFonts w:hint="eastAsia" w:ascii="仿宋_GB2312" w:hAnsi="仿宋_GB2312" w:eastAsia="仿宋_GB2312" w:cs="仿宋_GB2312"/>
          <w:b w:val="0"/>
          <w:bCs w:val="0"/>
          <w:sz w:val="32"/>
          <w:szCs w:val="32"/>
          <w:lang w:val="en-US" w:eastAsia="zh-CN"/>
        </w:rPr>
        <w:t>落实困难群众医疗费用救助政策，合理确定救助标准。</w:t>
      </w:r>
      <w:r>
        <w:rPr>
          <w:rFonts w:hint="eastAsia" w:ascii="仿宋_GB2312" w:hAnsi="仿宋_GB2312" w:eastAsia="仿宋_GB2312" w:cs="仿宋_GB2312"/>
          <w:sz w:val="32"/>
          <w:szCs w:val="32"/>
          <w:lang w:val="en-US" w:eastAsia="zh-CN"/>
        </w:rPr>
        <w:t>健全部门间信息共享和核对机制，</w:t>
      </w:r>
      <w:r>
        <w:rPr>
          <w:rFonts w:hint="eastAsia" w:ascii="仿宋_GB2312" w:hAnsi="仿宋_GB2312" w:eastAsia="仿宋_GB2312" w:cs="仿宋_GB2312"/>
          <w:b w:val="0"/>
          <w:bCs w:val="0"/>
          <w:sz w:val="32"/>
          <w:szCs w:val="32"/>
          <w:lang w:val="en-US" w:eastAsia="zh-CN"/>
        </w:rPr>
        <w:t>精准识别救助对象。建立防范化解因病致贫返贫长效机制，开展高额医疗费用负担患者监测预警。强化特困、低保、符合条件的防止返贫致贫对象托底保障。规范救助对象就医监管，落实“一站式”结算。拓展医疗救助筹资渠道，引导慈善力量参与，推进医疗救助与其他社会救助制度衔接。</w:t>
      </w:r>
    </w:p>
    <w:p w14:paraId="737546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（三）完善生育保险制度。</w:t>
      </w:r>
    </w:p>
    <w:p w14:paraId="4F23543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持续扩大生育保险覆盖面</w:t>
      </w:r>
      <w:r>
        <w:rPr>
          <w:rFonts w:hint="eastAsia" w:ascii="仿宋_GB2312" w:hAnsi="仿宋_GB2312" w:eastAsia="仿宋_GB2312" w:cs="仿宋_GB2312"/>
          <w:sz w:val="32"/>
          <w:szCs w:val="32"/>
          <w:lang w:val="en-US" w:eastAsia="zh-CN"/>
        </w:rPr>
        <w:t>。落实用人单位职工应参尽参要求，巩固企业职工参保基数。重点探索推进灵活就业人员、农民工、新就业形态人员参保工作，统一相关参保政策，明确该类群体参保路径、缴费方式及待遇享受条件，破除新业态群体参保壁垒。落实好失业保险金为领取失业保险金人员缴纳生育保险费相关工作。</w:t>
      </w:r>
    </w:p>
    <w:p w14:paraId="178E469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强化生育待遇保障和经办服务。</w:t>
      </w:r>
      <w:r>
        <w:rPr>
          <w:rFonts w:hint="eastAsia" w:ascii="仿宋_GB2312" w:hAnsi="仿宋_GB2312" w:eastAsia="仿宋_GB2312" w:cs="仿宋_GB2312"/>
          <w:sz w:val="32"/>
          <w:szCs w:val="32"/>
          <w:lang w:val="en-US" w:eastAsia="zh-CN"/>
        </w:rPr>
        <w:t>规范辅助生殖技术应用，合理提升产前检查保障水平，探索推行孕期基础检查服务包并参照门诊慢特病待遇支付，将适宜的分娩镇痛项目纳入保障范围。完善住院分娩报销政策，实现政策范围内住院分娩个人基本无自付。推进生育医疗费用医保支付方式改革，落实女职工法定产假生育津贴待遇，实现生育医疗费用直接结算、生育津贴直接发放政策。精简生育津贴申领流程与条件，适配多孩生育保障需求。</w:t>
      </w:r>
    </w:p>
    <w:p w14:paraId="0C258D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（四）有序推动商业健康保险发展。</w:t>
      </w:r>
    </w:p>
    <w:p w14:paraId="51CDAD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善与基本医保衔接的商业健康保险制度，推进普惠型保险产品提质扩面，满足群众多样化就医需求。引导商业保险机构拓宽保障范围，将创新药、医疗新技术、新器械纳入商保报销范畴，实现商保与基本医保目录互补衔接。依法依规推进基本医疗保险与商业健康保险数据安全共享，规范推进医保商保同步结算。</w:t>
      </w:r>
    </w:p>
    <w:p w14:paraId="4EE91B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（五）支持医疗互助、慈善医疗救助等医疗保障有序发展。</w:t>
      </w:r>
    </w:p>
    <w:p w14:paraId="4BCCAD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推动医疗互助与职工基本医疗保险更好衔接，利用医保信息平台推进同步结算。强化政策支持，激发社会力量参与慈善医疗救助积极性。健全多元化医疗救助体系，形成综合救助合力，进一步减轻困难群众和大病患者医疗费用负担。鼓励有条件的企业建立企业补充医疗保险。</w:t>
      </w:r>
    </w:p>
    <w:p w14:paraId="170C06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三、建立和实施长期护理保险制度</w:t>
      </w:r>
    </w:p>
    <w:p w14:paraId="7456C4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（一）分阶段构建适配我省实际的长护险制度体系。</w:t>
      </w:r>
    </w:p>
    <w:p w14:paraId="59D661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结合我省人口老龄化发展实际，分阶段稳步推进长期护理保险制度落地实施。制度建设初期，优先实现职工医保参保人员制度覆盖，有序将未就业城乡居民纳入保障范围，逐步实现制度全覆盖。中期，持续巩固扩大参保覆盖面，优化经办服务供给，实现基金收支动态平衡、略有结余，提升群众办事满意度。期末，构建形成政策统一、服务优质、监管高效、贴合本省实际的长期护理保险制度体系，有效适配人口老龄化发展形势。</w:t>
      </w:r>
    </w:p>
    <w:p w14:paraId="3034F3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（二）健全规范高效的管理机制。</w:t>
      </w:r>
    </w:p>
    <w:p w14:paraId="6B1294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善多元筹资机制，科学设定参保缴费费率，落实困难群体缴费资助，逐步对接国家统一费率，拓展社会捐赠补充筹资渠道。强化基金监管，建立医保、民政、卫健部门数据共享机制，常态化开展信息比对，落实“日常巡查+专项稽核”监管，引入第三方开展基金专项审计，保障基金专款专用。对标国家试行标准，组建多领域评估专家库，规范评估流程，实现评估结果公平公正、全省互认。</w:t>
      </w:r>
    </w:p>
    <w:p w14:paraId="068628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（三）提升便民高效的经办服务水平。</w:t>
      </w:r>
    </w:p>
    <w:p w14:paraId="51C7B7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善服务网络，推动基层医疗机构、养老机构增设护理病区，培育民营定点护理机构。构建居家、社区、机构三位一体服务模式，推广上门护理、日间照护服务，实现全域覆盖。强化人才技术支撑，开展护理员技能培训，培育中（藏）医药护理人才，建立绩效考核激励机制。搭建“互联网+长护险”智慧服务平台，推动业务全流程线上办理，打通机构信息互通。引入社会力量参与经办，简化待遇申领流程，提升经办服务水平。</w:t>
      </w:r>
    </w:p>
    <w:tbl>
      <w:tblPr>
        <w:tblStyle w:val="4"/>
        <w:tblW w:w="88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0"/>
      </w:tblGrid>
      <w:tr w14:paraId="3B19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5" w:hRule="atLeast"/>
        </w:trPr>
        <w:tc>
          <w:tcPr>
            <w:tcW w:w="8880" w:type="dxa"/>
          </w:tcPr>
          <w:p w14:paraId="1C2960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
                <w:szCs w:val="21"/>
                <w:shd w:val="clear" w:color="auto" w:fill="FFFFFF"/>
              </w:rPr>
            </w:pPr>
            <w:r>
              <w:rPr>
                <w:rFonts w:hint="eastAsia" w:ascii="黑体" w:hAnsi="黑体" w:eastAsia="黑体" w:cs="黑体"/>
                <w:sz w:val="30"/>
                <w:szCs w:val="30"/>
                <w:vertAlign w:val="baseline"/>
              </w:rPr>
              <w:t>重大工程1</w:t>
            </w:r>
            <w:r>
              <w:rPr>
                <w:rFonts w:hint="eastAsia" w:ascii="黑体" w:hAnsi="黑体" w:eastAsia="黑体" w:cs="黑体"/>
                <w:sz w:val="30"/>
                <w:szCs w:val="30"/>
                <w:vertAlign w:val="baseline"/>
                <w:lang w:val="en-US" w:eastAsia="zh-CN"/>
              </w:rPr>
              <w:t xml:space="preserve">   </w:t>
            </w:r>
            <w:r>
              <w:rPr>
                <w:rFonts w:hint="eastAsia" w:ascii="黑体" w:hAnsi="黑体" w:eastAsia="黑体" w:cs="黑体"/>
                <w:sz w:val="30"/>
                <w:szCs w:val="30"/>
                <w:vertAlign w:val="baseline"/>
              </w:rPr>
              <w:t>推动长期护理产业发展</w:t>
            </w:r>
          </w:p>
        </w:tc>
      </w:tr>
      <w:tr w14:paraId="6FC7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trPr>
        <w:tc>
          <w:tcPr>
            <w:tcW w:w="8880" w:type="dxa"/>
          </w:tcPr>
          <w:p w14:paraId="4F344D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1.开展长期护理保险服务供给能力提升建设。统筹区域内长护服务质量标准完善、质量监测评价等，分层分类打造优质长护定点服务机构，支持依托现有医疗、养老资源转型提供长护服务。</w:t>
            </w:r>
          </w:p>
          <w:p w14:paraId="4D0C63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2.</w:t>
            </w:r>
            <w:r>
              <w:rPr>
                <w:rFonts w:hint="eastAsia" w:ascii="仿宋_GB2312" w:hAnsi="仿宋_GB2312" w:eastAsia="仿宋_GB2312" w:cs="仿宋_GB2312"/>
                <w:sz w:val="24"/>
                <w:szCs w:val="24"/>
                <w:vertAlign w:val="baseline"/>
                <w:lang w:val="en-US" w:eastAsia="zh-CN"/>
              </w:rPr>
              <w:t>开展</w:t>
            </w:r>
            <w:r>
              <w:rPr>
                <w:rFonts w:hint="eastAsia" w:ascii="仿宋_GB2312" w:hAnsi="仿宋_GB2312" w:eastAsia="仿宋_GB2312" w:cs="仿宋_GB2312"/>
                <w:sz w:val="24"/>
                <w:szCs w:val="24"/>
                <w:vertAlign w:val="baseline"/>
              </w:rPr>
              <w:t>长期护理服务人员培训</w:t>
            </w:r>
            <w:r>
              <w:rPr>
                <w:rFonts w:hint="eastAsia" w:ascii="仿宋_GB2312" w:hAnsi="仿宋_GB2312" w:eastAsia="仿宋_GB2312" w:cs="仿宋_GB2312"/>
                <w:sz w:val="24"/>
                <w:szCs w:val="24"/>
                <w:vertAlign w:val="baseline"/>
                <w:lang w:val="en-US" w:eastAsia="zh-CN"/>
              </w:rPr>
              <w:t>等相关工作</w:t>
            </w:r>
            <w:r>
              <w:rPr>
                <w:rFonts w:hint="eastAsia" w:ascii="仿宋_GB2312" w:hAnsi="仿宋_GB2312" w:eastAsia="仿宋_GB2312" w:cs="仿宋_GB2312"/>
                <w:sz w:val="24"/>
                <w:szCs w:val="24"/>
                <w:vertAlign w:val="baseline"/>
              </w:rPr>
              <w:t>，为长期护理保险产业提供人才支持。</w:t>
            </w:r>
          </w:p>
          <w:p w14:paraId="2E19FAD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ascii="Times New Roman" w:hAnsi="Times New Roman"/>
                <w:b/>
                <w:bCs/>
                <w:szCs w:val="21"/>
                <w:shd w:val="clear" w:color="auto" w:fill="FFFFFF"/>
              </w:rPr>
            </w:pPr>
            <w:r>
              <w:rPr>
                <w:rFonts w:hint="eastAsia" w:ascii="仿宋_GB2312" w:hAnsi="仿宋_GB2312" w:eastAsia="仿宋_GB2312" w:cs="仿宋_GB2312"/>
                <w:sz w:val="24"/>
                <w:szCs w:val="24"/>
                <w:vertAlign w:val="baseline"/>
              </w:rPr>
              <w:t>3.推动长期护理产业的科技进步和照护服务的数字化、智能化发展。</w:t>
            </w:r>
          </w:p>
        </w:tc>
      </w:tr>
    </w:tbl>
    <w:p w14:paraId="2ABE259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四、深化协同高效的医药服务改革</w:t>
      </w:r>
    </w:p>
    <w:p w14:paraId="5ACBB03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（一）实施统一规范医保目录。</w:t>
      </w:r>
    </w:p>
    <w:p w14:paraId="68814BE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落实医保药品目录动态调整机制，规范民族药、医疗机构制剂、中药饮片纳入评估，将符合条件的药品纳入医保支付范围。全面推进医疗服务项目和医用耗材目录支付管理工作，夯实基本医保省级统筹基础。依托国家医用耗材分类编码标准，完善医用耗材医保通用名管理。对接国家医疗服务价格项目立项指南，统一规范全省医疗服务价格项目目录。</w:t>
      </w:r>
    </w:p>
    <w:p w14:paraId="4B26E7F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（二）深化医保支付方式改革。</w:t>
      </w:r>
    </w:p>
    <w:p w14:paraId="52C6DD6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持续推进以按病种付费为主的多元复合式医保支付方式改革，强化区域总额预算管理，提升总额精算水平，动态调整病种分组方案与支付标准，健全配套管理机制，推动按病组（DRG）和病种分值（DIP）付费融合发展。将异地就医直接结算住院费用纳入按病种付费范围，实现跨省异地就医病组编码、付费标准、结算规则与就医地衔接。探索精神疾病、医疗康复等病种按床日付费，推进门诊支付改革试点。逐步完善符合中藏医（民族医）药特点的医保支付方式。</w:t>
      </w:r>
    </w:p>
    <w:p w14:paraId="529790C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（三）全面推进医疗服务价格改革。</w:t>
      </w:r>
    </w:p>
    <w:p w14:paraId="44AF7FA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常态化运行灵敏有度的医疗服务价格动态调整机制。严格落实国家医疗服务价格项目规范，统一全省医疗服务项目编码、名称、计价单位完善目标导向价格管理机制，动态调整本地医疗服务项目价格。强化价格宏观调控，遏制医疗费用过快增长，提升社会效益。优化分类医疗机构价格政策，支持公立医疗机构在坚守公益属性前提下提供多层次医疗服务。根据国家医保局医疗服务价格治理安排，开展省际比价分析，理顺比价关系。</w:t>
      </w:r>
    </w:p>
    <w:p w14:paraId="30788FF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（四）改革完善医药价格形成机制。</w:t>
      </w:r>
    </w:p>
    <w:p w14:paraId="4DF5646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健全药品和医用耗材分类分层价格形成机制。对竞争充分的药品耗材，持续深化集中带量采购。探索挂网价格与医疗机构议定价格合理联动。严格落实药品挂网规则，规范医用耗材挂网规则。配合建设挂网药品医用耗材价格“一览表”建设及应用，加强药品医用耗材价格监测预警。推进医保基金与医药企业货款直接结算，落实医药价格和招采信用评价制度。加强定点零售药店挂网价格治理，运用比价小程序、零售药店量价比较指数等工作，提高医保基金使用效能。深化药品耗材价格管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0A31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19DB5F3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黑体" w:cs="仿宋_GB2312"/>
                <w:sz w:val="32"/>
                <w:szCs w:val="32"/>
                <w:vertAlign w:val="baseline"/>
                <w:lang w:val="en-US" w:eastAsia="zh-CN"/>
              </w:rPr>
            </w:pPr>
            <w:r>
              <w:rPr>
                <w:rFonts w:hint="eastAsia" w:ascii="黑体" w:hAnsi="黑体" w:eastAsia="黑体" w:cs="黑体"/>
                <w:sz w:val="30"/>
                <w:szCs w:val="30"/>
                <w:vertAlign w:val="baseline"/>
              </w:rPr>
              <w:t>民生实事2</w:t>
            </w:r>
            <w:r>
              <w:rPr>
                <w:rFonts w:hint="eastAsia" w:ascii="黑体" w:hAnsi="黑体" w:eastAsia="黑体" w:cs="黑体"/>
                <w:sz w:val="30"/>
                <w:szCs w:val="30"/>
                <w:vertAlign w:val="baseline"/>
                <w:lang w:val="en-US" w:eastAsia="zh-CN"/>
              </w:rPr>
              <w:t xml:space="preserve">   </w:t>
            </w:r>
            <w:r>
              <w:rPr>
                <w:rFonts w:hint="eastAsia" w:ascii="黑体" w:hAnsi="黑体" w:eastAsia="黑体" w:cs="黑体"/>
                <w:sz w:val="30"/>
                <w:szCs w:val="30"/>
                <w:vertAlign w:val="baseline"/>
              </w:rPr>
              <w:t>优化医保药品</w:t>
            </w:r>
            <w:r>
              <w:rPr>
                <w:rFonts w:hint="eastAsia" w:ascii="黑体" w:hAnsi="黑体" w:eastAsia="黑体" w:cs="黑体"/>
                <w:sz w:val="30"/>
                <w:szCs w:val="30"/>
                <w:vertAlign w:val="baseline"/>
                <w:lang w:val="en-US" w:eastAsia="zh-CN"/>
              </w:rPr>
              <w:t>比价小程序</w:t>
            </w:r>
          </w:p>
        </w:tc>
      </w:tr>
      <w:tr w14:paraId="35F1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9061" w:type="dxa"/>
          </w:tcPr>
          <w:p w14:paraId="116607B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依托全国统一医保信息平台，打通药品</w:t>
            </w:r>
            <w:r>
              <w:rPr>
                <w:rFonts w:hint="eastAsia" w:ascii="仿宋_GB2312" w:hAnsi="仿宋_GB2312" w:eastAsia="仿宋_GB2312" w:cs="仿宋_GB2312"/>
                <w:sz w:val="24"/>
                <w:szCs w:val="24"/>
                <w:vertAlign w:val="baseline"/>
                <w:lang w:val="en-US" w:eastAsia="zh-CN"/>
              </w:rPr>
              <w:t>挂网</w:t>
            </w:r>
            <w:r>
              <w:rPr>
                <w:rFonts w:hint="eastAsia" w:ascii="仿宋_GB2312" w:hAnsi="仿宋_GB2312" w:eastAsia="仿宋_GB2312" w:cs="仿宋_GB2312"/>
                <w:sz w:val="24"/>
                <w:szCs w:val="24"/>
                <w:vertAlign w:val="baseline"/>
              </w:rPr>
              <w:t>、采购、</w:t>
            </w:r>
            <w:r>
              <w:rPr>
                <w:rFonts w:hint="eastAsia" w:ascii="仿宋_GB2312" w:hAnsi="仿宋_GB2312" w:eastAsia="仿宋_GB2312" w:cs="仿宋_GB2312"/>
                <w:sz w:val="24"/>
                <w:szCs w:val="24"/>
                <w:vertAlign w:val="baseline"/>
                <w:lang w:val="en-US" w:eastAsia="zh-CN"/>
              </w:rPr>
              <w:t>配送</w:t>
            </w:r>
            <w:r>
              <w:rPr>
                <w:rFonts w:hint="eastAsia" w:ascii="仿宋_GB2312" w:hAnsi="仿宋_GB2312" w:eastAsia="仿宋_GB2312" w:cs="仿宋_GB2312"/>
                <w:sz w:val="24"/>
                <w:szCs w:val="24"/>
                <w:vertAlign w:val="baseline"/>
              </w:rPr>
              <w:t>、</w:t>
            </w:r>
            <w:r>
              <w:rPr>
                <w:rFonts w:hint="eastAsia" w:ascii="仿宋_GB2312" w:hAnsi="仿宋_GB2312" w:eastAsia="仿宋_GB2312" w:cs="仿宋_GB2312"/>
                <w:sz w:val="24"/>
                <w:szCs w:val="24"/>
                <w:vertAlign w:val="baseline"/>
                <w:lang w:val="en-US" w:eastAsia="zh-CN"/>
              </w:rPr>
              <w:t>使用、</w:t>
            </w:r>
            <w:r>
              <w:rPr>
                <w:rFonts w:hint="eastAsia" w:ascii="仿宋_GB2312" w:hAnsi="仿宋_GB2312" w:eastAsia="仿宋_GB2312" w:cs="仿宋_GB2312"/>
                <w:sz w:val="24"/>
                <w:szCs w:val="24"/>
                <w:vertAlign w:val="baseline"/>
              </w:rPr>
              <w:t>结算全链条数据，适配青海地域分散实际。迭代完善药品比价查询工具，实现药品实时比价、一键查询、</w:t>
            </w:r>
            <w:r>
              <w:rPr>
                <w:rFonts w:hint="eastAsia" w:ascii="仿宋_GB2312" w:hAnsi="仿宋_GB2312" w:eastAsia="仿宋_GB2312" w:cs="仿宋_GB2312"/>
                <w:color w:val="auto"/>
                <w:sz w:val="24"/>
                <w:szCs w:val="24"/>
                <w:vertAlign w:val="baseline"/>
              </w:rPr>
              <w:t>购药导航、库存展示、异常价格</w:t>
            </w:r>
            <w:r>
              <w:rPr>
                <w:rFonts w:hint="eastAsia" w:ascii="仿宋_GB2312" w:hAnsi="仿宋_GB2312" w:eastAsia="仿宋_GB2312" w:cs="仿宋_GB2312"/>
                <w:sz w:val="24"/>
                <w:szCs w:val="24"/>
                <w:vertAlign w:val="baseline"/>
              </w:rPr>
              <w:t>提醒，推动医药机构供需精准对接，</w:t>
            </w:r>
            <w:r>
              <w:rPr>
                <w:rFonts w:hint="eastAsia" w:ascii="仿宋_GB2312" w:hAnsi="仿宋_GB2312" w:eastAsia="仿宋_GB2312" w:cs="仿宋_GB2312"/>
                <w:sz w:val="24"/>
                <w:szCs w:val="24"/>
                <w:vertAlign w:val="baseline"/>
                <w:lang w:val="en-US" w:eastAsia="zh-CN"/>
              </w:rPr>
              <w:t>方便群众购药</w:t>
            </w:r>
            <w:r>
              <w:rPr>
                <w:rFonts w:hint="eastAsia" w:ascii="仿宋_GB2312" w:hAnsi="仿宋_GB2312" w:eastAsia="仿宋_GB2312" w:cs="仿宋_GB2312"/>
                <w:sz w:val="24"/>
                <w:szCs w:val="24"/>
                <w:vertAlign w:val="baseline"/>
              </w:rPr>
              <w:t>。</w:t>
            </w:r>
          </w:p>
        </w:tc>
      </w:tr>
    </w:tbl>
    <w:p w14:paraId="5D1C81E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（五）支持医药创新高质量发展。</w:t>
      </w:r>
    </w:p>
    <w:p w14:paraId="6F88924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发挥医保战略购买作用，支持医药创新高质量发展。加强“三医”信息互通与协同，推动创新药落地临床使用。在坚持“保基本”的基础上，按程序将符合条件的创新药纳入医保目录，完善商业健康保险创新药品目录。依托省级医药采购平台，畅通创新产品挂网通道，推动医药创新成果惠及群众用药就医需求。</w:t>
      </w:r>
    </w:p>
    <w:p w14:paraId="6B7BD99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（六）推动医药采购统一大市场建设。</w:t>
      </w:r>
    </w:p>
    <w:p w14:paraId="57F7989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统一标准规范建设完善省级医药采购平台，实现与国家、省级平台数据互联互通。推动公立医疗机构通过平台采购除中药饮片外的全部药品及高值医用耗材。优化集中带量采购政策，扩大集采品种，保障中选产品供应多元、质量可靠、价格均衡。落实国家集采结果，结合地方实际，对国家集采外品种开展联盟采购。对医保目录内纳入集采的同通用名药品，以中选价格为基准确定医保支付标准。推动集采药品进基层、民营医疗机构及零售药店。</w:t>
      </w:r>
    </w:p>
    <w:p w14:paraId="77F443A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（七）加强医保定点管理。</w:t>
      </w:r>
    </w:p>
    <w:p w14:paraId="73C9E03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结合区域卫生规划、参保人分布与就医需求、基金承受能力，合理确定本地区定点医药机构的资源配置，重点向乡镇、社区、偏远地区倾斜。加强定点医药机构管理，建立健全定点医药机构绩效评价机制，强化对机构资质、服务能力、信息化水平、内部管理及诚信记录的综合评估，提高源头管理质量。建立常态化退出通道，实现定点医药机构“有进有出、动态平衡”。</w:t>
      </w:r>
    </w:p>
    <w:p w14:paraId="4D79907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（八）促进医疗、医保、医药协调发展和治理。</w:t>
      </w:r>
    </w:p>
    <w:p w14:paraId="175D1A4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促进公立医院改革、医保支付、药耗集采等重点改革协同，促进优质资源下沉均衡布局。打通药品耗材上市、一致性评价与集采、医保目录调整信息共享，保障药品质量供应。推进检查检验结果互认与影像资料共享，规范检查检验价格。加强老年医学、儿科、精神康复、安宁疗护等学科建设，支持医疗卫生强基工程及基层首诊、双向转诊制度，促进分级诊疗。</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7612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3971ECA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黑体" w:hAnsi="黑体" w:eastAsia="黑体" w:cs="黑体"/>
                <w:sz w:val="30"/>
                <w:szCs w:val="30"/>
                <w:vertAlign w:val="baseline"/>
                <w:lang w:val="en-US" w:eastAsia="zh-CN"/>
              </w:rPr>
              <w:t>民生实事3   医保助力基层医疗卫生专项行动</w:t>
            </w:r>
          </w:p>
        </w:tc>
      </w:tr>
      <w:tr w14:paraId="2477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6B8D31E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1.强化定点管理。将符合条件的基层医疗卫生机构纳入医保定点，实现设有村卫生室的行政村定点覆盖率98%以上。</w:t>
            </w:r>
          </w:p>
          <w:p w14:paraId="583724E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2.优化价格管理。落实基层医疗机构一般诊疗费政策，合理缩小各级医疗机构同质化服务项目价差，依托价格杠杆引导群众基层首诊。</w:t>
            </w:r>
          </w:p>
          <w:p w14:paraId="1148F4D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3.完善医保报销政策。健全分级差异化报销机制，发挥待遇梯度导向作用。</w:t>
            </w:r>
          </w:p>
          <w:p w14:paraId="74E0E9E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仿宋_GB2312" w:hAnsi="仿宋_GB2312" w:eastAsia="仿宋_GB2312" w:cs="仿宋_GB2312"/>
                <w:sz w:val="32"/>
                <w:szCs w:val="32"/>
                <w:vertAlign w:val="baseline"/>
                <w:lang w:val="en-US" w:eastAsia="zh-CN"/>
              </w:rPr>
            </w:pPr>
            <w:r>
              <w:rPr>
                <w:rFonts w:hint="default" w:ascii="仿宋_GB2312" w:hAnsi="仿宋_GB2312" w:eastAsia="仿宋_GB2312" w:cs="仿宋_GB2312"/>
                <w:sz w:val="24"/>
                <w:szCs w:val="24"/>
                <w:vertAlign w:val="baseline"/>
                <w:lang w:val="en-US" w:eastAsia="zh-CN"/>
              </w:rPr>
              <w:t>4.</w:t>
            </w:r>
            <w:r>
              <w:rPr>
                <w:rFonts w:hint="eastAsia" w:ascii="仿宋_GB2312" w:hAnsi="仿宋_GB2312" w:eastAsia="仿宋_GB2312" w:cs="仿宋_GB2312"/>
                <w:sz w:val="24"/>
                <w:szCs w:val="24"/>
                <w:vertAlign w:val="baseline"/>
                <w:lang w:val="en-US" w:eastAsia="zh-CN"/>
              </w:rPr>
              <w:t>明确基层病种范围。立足县域诊疗实际，划定基层适宜病种，推进统筹区内不同等级医疗机构基层病种“同病同付”，推动常见病多发病就地处置。</w:t>
            </w:r>
          </w:p>
        </w:tc>
      </w:tr>
    </w:tbl>
    <w:p w14:paraId="29286EC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五、健全严密有力的基金监管体系</w:t>
      </w:r>
    </w:p>
    <w:p w14:paraId="48BDC92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（一）持续强化基金监管打击力度。</w:t>
      </w:r>
    </w:p>
    <w:p w14:paraId="21C4F2A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压实各级医保部门基金监管责任</w:t>
      </w:r>
      <w:r>
        <w:rPr>
          <w:rFonts w:hint="eastAsia" w:ascii="仿宋_GB2312" w:hAnsi="仿宋_GB2312" w:eastAsia="仿宋_GB2312" w:cs="仿宋_GB2312"/>
          <w:b w:val="0"/>
          <w:bCs w:val="0"/>
          <w:sz w:val="32"/>
          <w:szCs w:val="32"/>
          <w:lang w:val="en-US" w:eastAsia="zh-CN"/>
        </w:rPr>
        <w:t>，</w:t>
      </w:r>
      <w:r>
        <w:rPr>
          <w:rFonts w:hint="default" w:ascii="仿宋_GB2312" w:hAnsi="仿宋_GB2312" w:eastAsia="仿宋_GB2312" w:cs="仿宋_GB2312"/>
          <w:b w:val="0"/>
          <w:bCs w:val="0"/>
          <w:sz w:val="32"/>
          <w:szCs w:val="32"/>
          <w:lang w:val="en-US" w:eastAsia="zh-CN"/>
        </w:rPr>
        <w:t>常态化开展日常巡查、专项检查、飞行检查，监管覆盖面由定点医疗机构延伸至零售药店及参保人基金使用环节。督促定点医疗机构开展医保基金违规使用自查自纠，逐项核查问题线索和信访举报线索，实现飞行检查全域覆盖，靶向整治基金使用领域突出问题。建立问题台账和销号整改机制，依规实施协议处置、行政处罚、司法追责。健全行行、行刑、行纪衔接机制，深化多部门线索移送、联合执法协同治理，完善跨区域监管模式，从严查处异地就医欺诈骗保行为，常态化通报曝光典型案例，强化警示震慑效能。</w:t>
      </w:r>
    </w:p>
    <w:p w14:paraId="2A4200F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（二）构建全流程、全领域、全链条的智能监管防线。</w:t>
      </w:r>
    </w:p>
    <w:p w14:paraId="3860A85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健全事前事中事后相结合、全流程全领域全链条的智能监管体系，统筹推进定点机构端事前提醒、经办端事中审核、行政端事后监管建设。推进监管规则库、知识库建设应用，优化智能审核、反欺诈大数据检测分析</w:t>
      </w:r>
      <w:r>
        <w:rPr>
          <w:rFonts w:hint="default" w:ascii="仿宋_GB2312" w:hAnsi="仿宋_GB2312" w:eastAsia="仿宋_GB2312" w:cs="仿宋_GB2312"/>
          <w:b w:val="0"/>
          <w:bCs w:val="0"/>
          <w:sz w:val="32"/>
          <w:szCs w:val="32"/>
          <w:lang w:val="en-US" w:eastAsia="zh-CN"/>
        </w:rPr>
        <w:t>。依托全国医保信息平台，推进药品追溯码全量采集、全场景落地，实现定点医药机构全覆盖，运用追溯码异常线索，严查倒卖、串换医保药品等违规行为。升级省级医保大数据平台，建设反欺诈监测专区，完善多场景监管模型，扩大数据源，落实诊疗信息全量采集与数据标准化治理。探索AI监管应用，开发影像云、DRG/DIP等监管模型，实施诊疗数据全量智能监管。</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7BFB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2090C2C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黑体" w:hAnsi="黑体" w:eastAsia="黑体" w:cs="黑体"/>
                <w:sz w:val="30"/>
                <w:szCs w:val="30"/>
                <w:vertAlign w:val="baseline"/>
                <w:lang w:val="en-US" w:eastAsia="zh-CN"/>
              </w:rPr>
              <w:t>重大工程2   医保大数据监管模型</w:t>
            </w:r>
          </w:p>
        </w:tc>
      </w:tr>
      <w:tr w14:paraId="4A7C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15FAC6B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1.住院监管模型。重点筛查虚假住院、异常住院、分解住院等问题线索。</w:t>
            </w:r>
          </w:p>
          <w:p w14:paraId="1411AC3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2.门诊监管模型。筛查超量开药、虚构门诊服务等问题线索，重点监控慢特病门诊费用异常。</w:t>
            </w:r>
          </w:p>
          <w:p w14:paraId="75472E4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3.药店监管模型。筛查空刷套刷医保凭证、套现、诱导冲顶消费等问题线索。</w:t>
            </w:r>
          </w:p>
          <w:p w14:paraId="553278F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4.药品耗材监管模型。探索高值药品、耗材滥用或超常规使用预警。</w:t>
            </w:r>
          </w:p>
          <w:p w14:paraId="49DC564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5.参保人监管模型。建立参保人就医购药画像，识别冒用医保身份，监测参保人短期多次跨院就医购药疑点。</w:t>
            </w:r>
          </w:p>
          <w:p w14:paraId="5E4970A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6.药品追溯码监管模型。持续完善基于药品追溯码的监管模型，查处倒卖医保药品等违法违规行为，进一步拓展药品追溯码的多场景应用。</w:t>
            </w:r>
          </w:p>
          <w:p w14:paraId="166F8C5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6" w:firstLineChars="200"/>
              <w:jc w:val="left"/>
              <w:textAlignment w:val="auto"/>
              <w:rPr>
                <w:rFonts w:hint="eastAsia" w:ascii="仿宋_GB2312" w:hAnsi="仿宋_GB2312" w:eastAsia="仿宋_GB2312" w:cs="仿宋_GB2312"/>
                <w:spacing w:val="-6"/>
                <w:sz w:val="24"/>
                <w:szCs w:val="24"/>
                <w:vertAlign w:val="baseline"/>
                <w:lang w:val="en-US" w:eastAsia="zh-CN"/>
              </w:rPr>
            </w:pPr>
            <w:r>
              <w:rPr>
                <w:rFonts w:hint="eastAsia" w:ascii="仿宋_GB2312" w:hAnsi="仿宋_GB2312" w:eastAsia="仿宋_GB2312" w:cs="仿宋_GB2312"/>
                <w:spacing w:val="-6"/>
                <w:sz w:val="24"/>
                <w:szCs w:val="24"/>
                <w:vertAlign w:val="baseline"/>
                <w:lang w:val="en-US" w:eastAsia="zh-CN"/>
              </w:rPr>
              <w:t>7.影像云监管模型。基于影像云数据，探索识别虚假检查、不合理重复检查等问题。</w:t>
            </w:r>
          </w:p>
          <w:p w14:paraId="3838175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8.DRG/DIP监管模型。基于全口径临床诊疗数据，探索筛查高编分组、高套分值、分解住院等问题。</w:t>
            </w:r>
          </w:p>
          <w:p w14:paraId="034DB1B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24"/>
                <w:szCs w:val="24"/>
                <w:vertAlign w:val="baseline"/>
                <w:lang w:val="en-US" w:eastAsia="zh-CN"/>
              </w:rPr>
              <w:t>9.异地就医监管模型。探索筛查异地就医异常线索。</w:t>
            </w:r>
          </w:p>
        </w:tc>
      </w:tr>
    </w:tbl>
    <w:p w14:paraId="2E1C11B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（三）健全基金监管长效机制。</w:t>
      </w:r>
    </w:p>
    <w:p w14:paraId="579B222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全面落实《医疗保障基金使用监督管理条例实施细则》。严格落实行政执法“三项制度”。压实多方监管责任，持续强化医保行政部门监管责任、医保经办机构审核检查责任、定点医药机构自我管理主体责任、行业部门主管责任、地方政府属地监管责任等五方责任。全面实施医保支付资格管理制度，构建医保信用管理机制，落实定点医药机构、医保医师、医药企业、参保人分级分类监管，推动信用结果与协议管理、稽核检查、集采资格等挂钩，实施信用联合奖惩，规范信用修复流程。强化机构内控自律，引导机构主动规范服务行为。落实举报奖励，开展政策宣传与案例警示。</w:t>
      </w:r>
    </w:p>
    <w:p w14:paraId="1D4EF81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六、优化医疗保障公共管理服务</w:t>
      </w:r>
    </w:p>
    <w:p w14:paraId="5FD745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楷体" w:hAnsi="楷体" w:eastAsia="楷体" w:cs="楷体"/>
          <w:sz w:val="32"/>
          <w:szCs w:val="32"/>
          <w:lang w:val="en-US" w:eastAsia="zh-CN"/>
        </w:rPr>
        <w:t>（一）健全统一高效的医保经办管理服务规范。</w:t>
      </w:r>
    </w:p>
    <w:p w14:paraId="1DEAC21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对标省级统筹改革优化经办架构，形成省级统筹指导、属地分级经办、全程智能管控运行模式，补齐基层经办短板，推进全省经办服务均等化。委托商业保险机构承办多元医保业务。完善省市县乡村五级经办服务网络，推动业务下沉基层站点，通过政府购买服务补足基层经办服务力量。完善医保基金预付、结算清算等机制，逐步调整至每年3月底前完成清算，清算资金占全年基金拨付比例逐步降低至3%左右。全面扩大即时结算范围，协同推进直接结算、同步结算。</w:t>
      </w:r>
    </w:p>
    <w:p w14:paraId="4B3059A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（二）提升医保经办服务规范化标准化水平。</w:t>
      </w:r>
    </w:p>
    <w:p w14:paraId="21FEA70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落实全国统一经办事项清单，细化省级办事标准与指南，实现全域无差别受理、同标准办理。聚焦高频业务推进异地就近办理，完善医保关系跨区域转移接续协作机制。分类管控异地就医备案，提质扩容联网定点机构与门诊慢特病结算病种，分步试点生育、长护险跨省结算，做实个人账户跨省共济清单。深化基金总额预算与复合结算模式，优化预付拨付、费用审核、风险预警机制。统筹定点机构布局，推行分级分类协议全周期管理，明晰准入履约退出规则。兼顾传统与智能服务，兜底保障老年、残疾群体办事需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03BC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1C10A16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黑体" w:hAnsi="黑体" w:eastAsia="黑体" w:cs="黑体"/>
                <w:sz w:val="30"/>
                <w:szCs w:val="30"/>
                <w:vertAlign w:val="baseline"/>
                <w:lang w:val="en-US" w:eastAsia="zh-CN"/>
              </w:rPr>
              <w:t>民生实事4   医保经办便民服务建设</w:t>
            </w:r>
          </w:p>
        </w:tc>
      </w:tr>
      <w:tr w14:paraId="48929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0A35BF9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1.</w:t>
            </w:r>
            <w:r>
              <w:rPr>
                <w:rFonts w:hint="eastAsia" w:ascii="仿宋_GB2312" w:hAnsi="仿宋_GB2312" w:eastAsia="仿宋_GB2312" w:cs="仿宋_GB2312"/>
                <w:sz w:val="24"/>
                <w:szCs w:val="24"/>
                <w:vertAlign w:val="baseline"/>
                <w:lang w:val="en-US" w:eastAsia="zh-CN"/>
              </w:rPr>
              <w:t>加强</w:t>
            </w:r>
            <w:r>
              <w:rPr>
                <w:rFonts w:hint="default" w:ascii="仿宋_GB2312" w:hAnsi="仿宋_GB2312" w:eastAsia="仿宋_GB2312" w:cs="仿宋_GB2312"/>
                <w:sz w:val="24"/>
                <w:szCs w:val="24"/>
                <w:vertAlign w:val="baseline"/>
                <w:lang w:val="en-US" w:eastAsia="zh-CN"/>
              </w:rPr>
              <w:t>全省统一的医疗保障经办管理标准化</w:t>
            </w:r>
            <w:r>
              <w:rPr>
                <w:rFonts w:hint="eastAsia" w:ascii="仿宋_GB2312" w:hAnsi="仿宋_GB2312" w:eastAsia="仿宋_GB2312" w:cs="仿宋_GB2312"/>
                <w:sz w:val="24"/>
                <w:szCs w:val="24"/>
                <w:vertAlign w:val="baseline"/>
                <w:lang w:val="en-US" w:eastAsia="zh-CN"/>
              </w:rPr>
              <w:t>建设</w:t>
            </w:r>
            <w:r>
              <w:rPr>
                <w:rFonts w:hint="default" w:ascii="仿宋_GB2312" w:hAnsi="仿宋_GB2312" w:eastAsia="仿宋_GB2312" w:cs="仿宋_GB2312"/>
                <w:sz w:val="24"/>
                <w:szCs w:val="24"/>
                <w:vertAlign w:val="baseline"/>
                <w:lang w:val="en-US" w:eastAsia="zh-CN"/>
              </w:rPr>
              <w:t>，严格执行政务服务事项操作规范。持续优化更新医保经办政务服务事项操作规范，提升“全省通办”</w:t>
            </w:r>
          </w:p>
          <w:p w14:paraId="0200C04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2.持续深化医保领域“高效办成一件事”，建立医保综合一站式服务窗口，</w:t>
            </w:r>
            <w:r>
              <w:rPr>
                <w:rFonts w:hint="eastAsia" w:ascii="仿宋_GB2312" w:hAnsi="仿宋_GB2312" w:eastAsia="仿宋_GB2312" w:cs="仿宋_GB2312"/>
                <w:sz w:val="24"/>
                <w:szCs w:val="24"/>
                <w:vertAlign w:val="baseline"/>
                <w:lang w:val="en-US" w:eastAsia="zh-CN"/>
              </w:rPr>
              <w:t>医保业务</w:t>
            </w:r>
            <w:r>
              <w:rPr>
                <w:rFonts w:hint="default" w:ascii="仿宋_GB2312" w:hAnsi="仿宋_GB2312" w:eastAsia="仿宋_GB2312" w:cs="仿宋_GB2312"/>
                <w:sz w:val="24"/>
                <w:szCs w:val="24"/>
                <w:vertAlign w:val="baseline"/>
                <w:lang w:val="en-US" w:eastAsia="zh-CN"/>
              </w:rPr>
              <w:t>集成办理。</w:t>
            </w:r>
          </w:p>
          <w:p w14:paraId="316611A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3.推动医保服务事项下沉，依托党群服务中心、定点医疗机构、合作银行等，打造“15分钟医保服务圈”。</w:t>
            </w:r>
          </w:p>
          <w:p w14:paraId="6775285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24"/>
                <w:szCs w:val="24"/>
                <w:vertAlign w:val="baseline"/>
                <w:lang w:val="en-US" w:eastAsia="zh-CN"/>
              </w:rPr>
              <w:t>4.优化特殊群体医保服务。保留线下窗口、现金支付等服务，提供上门、代办服务，升级线上适老化无障碍功能，优化亲情展码，便利家属代办业务。</w:t>
            </w:r>
          </w:p>
        </w:tc>
      </w:tr>
    </w:tbl>
    <w:p w14:paraId="58EFD0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（三）规范异地就医直接结算管理。</w:t>
      </w:r>
    </w:p>
    <w:p w14:paraId="7607B65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规范异地就医直接结算管理，落实就医人员分类备案制度，严格执行“先备案、后结算”要求，核验长期居住人员备案信息，依托差异化报销政策引导有序就医、推进分级诊疗。拓宽异地结算服务范围，扩容门诊慢特病结算病种，依托全国统一数据库实现异地就医手工报销“零材料”办理，按“先省内后跨省、先住院后门诊”原则，稳步推进生育保险异地结算试点。深化异地就医支付方式改革，落实就医地审核责任，实现费用本地同质化智能审核，健全违规费用退回、资金监测分析机制，实现职工医保个人账户跨省共济费用清算。升级全国异地结算清算平台，完善结算报错协同治理机制，提升结算智能化水平与成功率，上线异地就医政策智能问答服务。</w:t>
      </w:r>
    </w:p>
    <w:p w14:paraId="6E1F5EF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（四）深入推进医保经办数智赋能。</w:t>
      </w:r>
    </w:p>
    <w:p w14:paraId="668E7D1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依托全国统一医保信息平台，运用人工智能搭建智能客服、导办、业务审核、辅助决策系统，实现门诊慢特病认定、医疗救助待遇直达快享。综合运用大数据、区块链、云计算技术，探索搭建个人医保云。常态化开展经办数据治理，建立数据质量核查机制，设立经办数据专区，对接卫健、公安、税务、人社等部门实现数据互联互通，归集参保主体、定点医药机构、基金运行专题数据库，整合经办平台功能。深耕“人工智能+医保经办”场景，依托AI大模型深挖业务数据价值，赋能经办智能审核、诉求研判、运行分析，全面提升经办数字化治理效能。</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35EC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69077E0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黑体" w:hAnsi="黑体" w:eastAsia="黑体" w:cs="黑体"/>
                <w:sz w:val="30"/>
                <w:szCs w:val="30"/>
                <w:vertAlign w:val="baseline"/>
                <w:lang w:val="en-US" w:eastAsia="zh-CN"/>
              </w:rPr>
              <w:t>民生实事5   个人医保云</w:t>
            </w:r>
          </w:p>
        </w:tc>
      </w:tr>
      <w:tr w14:paraId="156E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tcPr>
          <w:p w14:paraId="1936142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left"/>
              <w:textAlignment w:val="auto"/>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1.加强个人医保服务。经个人授权同意后，提供包含个人医保健康档案、</w:t>
            </w:r>
            <w:r>
              <w:rPr>
                <w:rFonts w:hint="eastAsia" w:ascii="仿宋_GB2312" w:hAnsi="仿宋_GB2312" w:eastAsia="仿宋_GB2312" w:cs="仿宋_GB2312"/>
                <w:sz w:val="24"/>
                <w:szCs w:val="24"/>
                <w:vertAlign w:val="baseline"/>
                <w:lang w:val="en-US" w:eastAsia="zh-CN"/>
              </w:rPr>
              <w:t>财务</w:t>
            </w:r>
            <w:r>
              <w:rPr>
                <w:rFonts w:hint="default" w:ascii="仿宋_GB2312" w:hAnsi="仿宋_GB2312" w:eastAsia="仿宋_GB2312" w:cs="仿宋_GB2312"/>
                <w:sz w:val="24"/>
                <w:szCs w:val="24"/>
                <w:vertAlign w:val="baseline"/>
                <w:lang w:val="en-US" w:eastAsia="zh-CN"/>
              </w:rPr>
              <w:t>档案、信用档案等的个人医保服务，加强医保信息与居民电子健康档案的互联互通共享。</w:t>
            </w:r>
          </w:p>
          <w:p w14:paraId="36D1E63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left"/>
              <w:textAlignment w:val="auto"/>
              <w:rPr>
                <w:rFonts w:hint="default" w:ascii="仿宋_GB2312" w:hAnsi="仿宋_GB2312" w:eastAsia="仿宋_GB2312" w:cs="仿宋_GB2312"/>
                <w:sz w:val="32"/>
                <w:szCs w:val="32"/>
                <w:vertAlign w:val="baseline"/>
                <w:lang w:val="en-US" w:eastAsia="zh-CN"/>
              </w:rPr>
            </w:pPr>
            <w:r>
              <w:rPr>
                <w:rFonts w:hint="default" w:ascii="仿宋_GB2312" w:hAnsi="仿宋_GB2312" w:eastAsia="仿宋_GB2312" w:cs="仿宋_GB2312"/>
                <w:sz w:val="24"/>
                <w:szCs w:val="24"/>
                <w:vertAlign w:val="baseline"/>
                <w:lang w:val="en-US" w:eastAsia="zh-CN"/>
              </w:rPr>
              <w:t>2.医保智能服务升级。探索医保智能客服、就医引导、保障方案优化、与其他医疗保障同步结算等服务。依托医保码、社会保障卡，为参保人提供挂号、</w:t>
            </w:r>
            <w:r>
              <w:rPr>
                <w:rFonts w:hint="eastAsia" w:ascii="仿宋_GB2312" w:hAnsi="仿宋_GB2312" w:eastAsia="仿宋_GB2312" w:cs="仿宋_GB2312"/>
                <w:sz w:val="24"/>
                <w:szCs w:val="24"/>
                <w:vertAlign w:val="baseline"/>
                <w:lang w:val="en-US" w:eastAsia="zh-CN"/>
              </w:rPr>
              <w:t>候诊</w:t>
            </w:r>
            <w:r>
              <w:rPr>
                <w:rFonts w:hint="default" w:ascii="仿宋_GB2312" w:hAnsi="仿宋_GB2312" w:eastAsia="仿宋_GB2312" w:cs="仿宋_GB2312"/>
                <w:sz w:val="24"/>
                <w:szCs w:val="24"/>
                <w:vertAlign w:val="baseline"/>
                <w:lang w:val="en-US" w:eastAsia="zh-CN"/>
              </w:rPr>
              <w:t>、检查、结算等关键就医节点的实时信息通知与状态查询服务，实现身份验证、业务办理与医保结算等功能衔接。基于个人医保档案，为参保人提供健康增值服务。</w:t>
            </w:r>
          </w:p>
        </w:tc>
      </w:tr>
    </w:tbl>
    <w:p w14:paraId="5765CC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（五）强化经办服务基础建设。</w:t>
      </w:r>
    </w:p>
    <w:p w14:paraId="53AF64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配齐配强医保经办队伍，常态化开展业务培训与技能比武，健全考核激励、廉政管控机制。衔接医保领域法律法规，细化本地经办配套制度，厘清权责、统一业务规程与操作规范。搭建经办内控风控架构，梳理风险清单实施分级管控，适配支付方式优化费用审核，建立“快核快返”核查机制，引入第三方开展风险研判。实行医保数据分级分类管控，严守原始数据属地管理原则，运用隐私计算、区块链技术保障数据流通安全。常态化开展系统运维巡检与安全应急演练，完善信息泄漏处置预案，严守参保个人隐私与医保基金数据安全底线。</w:t>
      </w:r>
    </w:p>
    <w:p w14:paraId="460428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黑体" w:hAnsi="黑体" w:eastAsia="黑体" w:cs="黑体"/>
          <w:sz w:val="32"/>
          <w:szCs w:val="32"/>
          <w:lang w:val="en-US" w:eastAsia="zh-CN"/>
        </w:rPr>
        <w:t>七、夯实长效稳固的发展基础</w:t>
      </w:r>
    </w:p>
    <w:p w14:paraId="74636B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（一）强化法治医保与标准化建设。</w:t>
      </w:r>
    </w:p>
    <w:p w14:paraId="7342D8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入推进医保领域依法行政，健全完善医保重大决策、重大执法决定等行政行为流程。落实清单管理，优化法治化营商环境，规范涉企检查行为，推进政务公开，织密权力监督网络。健全风险化解机制，压实防控责任，提升舆情应急处置、行政复议应诉能力，依法处置信访矛盾。对标国家医保标准化工作部署，梳理迭代本省核心标准，配合完成重点领域标准研制，推动地方标准与国家标准衔接转化。组建标准化专家团队，强化业务培训，组织开展医保标准落地应用与效果评估。</w:t>
      </w:r>
    </w:p>
    <w:p w14:paraId="6FB4EA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（二）建设安全智能的健康公共数据基础设施。</w:t>
      </w:r>
    </w:p>
    <w:p w14:paraId="6DED1A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打造开放智能高效的全民医保数智平台，归集群众全生命周期健康信息，整合个人、物资、基金、规则多维度数据，搭建一体化智慧医保“大脑”，支撑个人健康保障、医保服务、医药产业发展、行业管理与社会治理，释放医药领域新质生产力。深化医保信息平台应用及运维管理。优化医保信息系统，强化公共服务、经办、价格管理、招采、支付、基金监管信息化支撑。健全平台建设运维、网络安全相关标准，建强专业运维队伍，完善应急处置机制，做实容灾备份中心，升级网络安全防护能力，保障平台稳定安全运行。</w:t>
      </w:r>
    </w:p>
    <w:p w14:paraId="0BBC2B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 w:hAnsi="楷体" w:eastAsia="楷体" w:cs="楷体"/>
          <w:sz w:val="32"/>
          <w:szCs w:val="32"/>
          <w:lang w:val="en-US" w:eastAsia="zh-CN"/>
        </w:rPr>
        <w:t>（三）强化基金预算与运行管理。</w:t>
      </w:r>
    </w:p>
    <w:p w14:paraId="13828E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坚持“以收定支、收支平衡、略有结余”原则，科学编制基金预算，强化预算刚性约束。推动基金预算绩效管理，开展年度基金运行评价，强化评价结果落地运用。建立健全医保基金运行监测、风险预警和风险问题及时处置闭环管理机制。完善统计指标监测，关注医保支付比例、就医人次、医疗费用等重点指标变化。推进医保信息系统与预算管理一体化系统对接，加强医保、财政、税务部门间数据共享。</w:t>
      </w:r>
    </w:p>
    <w:p w14:paraId="2B82A9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（四）强化能力建设。</w:t>
      </w:r>
    </w:p>
    <w:p w14:paraId="7A6565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推动党建与业务深度融合，提升干部队伍政治素养与专业本领。建立常态化培训机制，围绕医保政策法规、基金管理、信息化、基金监管开展专项培训，借鉴先进地区人才培养经验，组织业务交流、岗位练兵，培育复合型业务人才。强化职业道德教育，增强队伍服务意识与责任担当，建设高素质专业化医保队伍。完善重大疫情、突发公共卫生事件医保应急响应机制，保障突发事件下患者救治及基金足额拨付。健全舆情风险处置措施，提高舆情预警、信访办理效能，及时开展处置应对，防范舆情风险。</w:t>
      </w:r>
    </w:p>
    <w:p w14:paraId="5C1920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（五）提高医保宣传质效。</w:t>
      </w:r>
    </w:p>
    <w:p w14:paraId="45264F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构建传统媒体与新媒体融合的多元传播矩阵，搭建全域宣传网络。线上依托微信、抖音等平台开设政策专栏，建设医保政策数据库，支持关键词检索，打造本地宣传IP，开发方言短视频、情景短剧等通俗宣传产品。线下用好乡镇便民中心、村卫生室宣传栏、村广播等基层阵地，结合医保、全民参保宣传月，开展巡回宣讲、现场咨询，常态化推送参保缴费、待遇报销等重点内容。借力地方特色文化，将医保政策融入曲艺、戏曲、民歌，依托送戏下乡等活动开展文化式政策传播，提升政策知晓度。</w:t>
      </w:r>
    </w:p>
    <w:p w14:paraId="499B44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十、强化规划实施保障</w:t>
      </w:r>
    </w:p>
    <w:p w14:paraId="61E3A01E">
      <w:pPr>
        <w:pStyle w:val="7"/>
        <w:keepNext w:val="0"/>
        <w:keepLines w:val="0"/>
        <w:pageBreakBefore w:val="0"/>
        <w:widowControl w:val="0"/>
        <w:kinsoku/>
        <w:wordWrap/>
        <w:overflowPunct/>
        <w:topLinePunct w:val="0"/>
        <w:bidi w:val="0"/>
        <w:spacing w:line="560" w:lineRule="exact"/>
        <w:ind w:firstLine="640" w:firstLineChars="200"/>
        <w:textAlignment w:val="auto"/>
        <w:rPr>
          <w:rFonts w:hint="default"/>
          <w:lang w:val="en-US" w:eastAsia="zh-CN"/>
        </w:rPr>
      </w:pPr>
      <w:r>
        <w:rPr>
          <w:rFonts w:hint="default" w:ascii="仿宋_GB2312" w:hAnsi="仿宋_GB2312" w:eastAsia="仿宋_GB2312" w:cs="仿宋_GB2312"/>
          <w:color w:val="auto"/>
          <w:sz w:val="32"/>
          <w:szCs w:val="32"/>
          <w:lang w:val="en-US" w:eastAsia="zh-CN"/>
        </w:rPr>
        <w:t>坚持党的领导，压实全链条责任，保障各项部署落地执行。加强与国家医保规划衔接，搭建职责清晰、协同高效的实施机制。细化重点任务与重大工程，落实责任主体，明确时间节点与实施路径。强化全过程管控，紧盯关键节点督导，开展中期、末期评估，依托评估结果动态优化工作举措。统筹部门协同与资金要素保障，推进政务公开，主动接受社会监督，凝聚多方合力，推动规划目标如期实现。</w:t>
      </w:r>
      <w:r>
        <w:rPr>
          <w:rFonts w:hint="eastAsia" w:ascii="仿宋_GB2312" w:hAnsi="仿宋_GB2312" w:eastAsia="仿宋_GB2312" w:cs="仿宋_GB2312"/>
          <w:color w:val="auto"/>
          <w:sz w:val="32"/>
          <w:szCs w:val="32"/>
          <w:lang w:val="en-US" w:eastAsia="zh-CN"/>
        </w:rPr>
        <w:t>重大事项按程序向省委省政府请示报告。</w:t>
      </w:r>
    </w:p>
    <w:sectPr>
      <w:footerReference r:id="rId3" w:type="default"/>
      <w:pgSz w:w="11906" w:h="16838"/>
      <w:pgMar w:top="2098" w:right="1474" w:bottom="1984" w:left="1587" w:header="851" w:footer="992"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5FE2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873FA7">
                          <w:pPr>
                            <w:pStyle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873FA7">
                    <w:pPr>
                      <w:pStyle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ED6F9B"/>
    <w:multiLevelType w:val="singleLevel"/>
    <w:tmpl w:val="E0ED6F9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460603"/>
    <w:rsid w:val="02551A35"/>
    <w:rsid w:val="03C46321"/>
    <w:rsid w:val="0ABB5C2F"/>
    <w:rsid w:val="0ACF19B1"/>
    <w:rsid w:val="0B8651D2"/>
    <w:rsid w:val="0D871688"/>
    <w:rsid w:val="0D8C7E40"/>
    <w:rsid w:val="0E996E88"/>
    <w:rsid w:val="0F673852"/>
    <w:rsid w:val="10AB26B3"/>
    <w:rsid w:val="13542450"/>
    <w:rsid w:val="14155852"/>
    <w:rsid w:val="141F1EA3"/>
    <w:rsid w:val="16723CC9"/>
    <w:rsid w:val="17076DDA"/>
    <w:rsid w:val="184226FA"/>
    <w:rsid w:val="1C9525C3"/>
    <w:rsid w:val="1CB31E5E"/>
    <w:rsid w:val="1D50131F"/>
    <w:rsid w:val="21172740"/>
    <w:rsid w:val="21E2411D"/>
    <w:rsid w:val="21F36BB6"/>
    <w:rsid w:val="22993D48"/>
    <w:rsid w:val="24BF03D6"/>
    <w:rsid w:val="28AA35BA"/>
    <w:rsid w:val="29861C3F"/>
    <w:rsid w:val="2B0D67AD"/>
    <w:rsid w:val="2BA53B67"/>
    <w:rsid w:val="2C3A068E"/>
    <w:rsid w:val="2D092D6F"/>
    <w:rsid w:val="3311127C"/>
    <w:rsid w:val="3512789B"/>
    <w:rsid w:val="351E45DC"/>
    <w:rsid w:val="369B7657"/>
    <w:rsid w:val="370A1FDB"/>
    <w:rsid w:val="371B6393"/>
    <w:rsid w:val="38154040"/>
    <w:rsid w:val="3AC206F7"/>
    <w:rsid w:val="3C5304C4"/>
    <w:rsid w:val="3ED424C5"/>
    <w:rsid w:val="3EE6433F"/>
    <w:rsid w:val="3F375A43"/>
    <w:rsid w:val="3FE55BE1"/>
    <w:rsid w:val="42AE7D3A"/>
    <w:rsid w:val="44063EED"/>
    <w:rsid w:val="44460603"/>
    <w:rsid w:val="46DF533E"/>
    <w:rsid w:val="482D2D6F"/>
    <w:rsid w:val="486C4563"/>
    <w:rsid w:val="4ABA4818"/>
    <w:rsid w:val="4CE50F85"/>
    <w:rsid w:val="4D8C39CA"/>
    <w:rsid w:val="4D983341"/>
    <w:rsid w:val="4E7A45DC"/>
    <w:rsid w:val="4EFD543E"/>
    <w:rsid w:val="4FC2062D"/>
    <w:rsid w:val="50635940"/>
    <w:rsid w:val="51B774A7"/>
    <w:rsid w:val="51D05052"/>
    <w:rsid w:val="52CF4B52"/>
    <w:rsid w:val="55482300"/>
    <w:rsid w:val="579D5E3E"/>
    <w:rsid w:val="59355A7F"/>
    <w:rsid w:val="597823B5"/>
    <w:rsid w:val="59A7113B"/>
    <w:rsid w:val="5A3D767C"/>
    <w:rsid w:val="5A4B3D21"/>
    <w:rsid w:val="5AF80C77"/>
    <w:rsid w:val="5BA0069E"/>
    <w:rsid w:val="62203570"/>
    <w:rsid w:val="62B554F5"/>
    <w:rsid w:val="62BD568B"/>
    <w:rsid w:val="63363708"/>
    <w:rsid w:val="6397429B"/>
    <w:rsid w:val="644B3B98"/>
    <w:rsid w:val="64980C0B"/>
    <w:rsid w:val="64DD79D3"/>
    <w:rsid w:val="665E78AF"/>
    <w:rsid w:val="68E40F08"/>
    <w:rsid w:val="69CE29BB"/>
    <w:rsid w:val="6A073ED1"/>
    <w:rsid w:val="6C1D13FC"/>
    <w:rsid w:val="6C7B7F77"/>
    <w:rsid w:val="728A7342"/>
    <w:rsid w:val="72DF0AEC"/>
    <w:rsid w:val="74897427"/>
    <w:rsid w:val="7C5E31F5"/>
    <w:rsid w:val="7EC93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qFormat/>
    <w:uiPriority w:val="0"/>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paragraph" w:customStyle="1" w:styleId="8">
    <w:name w:val="Char"/>
    <w:basedOn w:val="1"/>
    <w:qFormat/>
    <w:uiPriority w:val="99"/>
    <w:pPr>
      <w:widowControl/>
      <w:spacing w:after="160" w:line="240" w:lineRule="exact"/>
      <w:jc w:val="left"/>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28f089a4-3fc2-4a3e-8000-bf5ce08bd4ef</errorID>
      <errorWord>三医协同</errorWord>
      <group>L1_Political</group>
      <groupName>政治性问题</groupName>
      <ability>L2_Keyword</ability>
      <abilityName>固定表述</abilityName>
      <candidateList>
        <item>“三医”协同</item>
      </candidateList>
      <explain>注意检查当前固定表述标点是否使用规范。</explain>
      <paraID> 7E696F0</paraID>
      <start>206</start>
      <end>212</end>
      <status>modified</status>
      <modifiedWord>“三医”协同</modifiedWord>
      <trackRevisions>false</trackRevisions>
    </reviewItem>
    <reviewItem>
      <errorID>e5cdddd3-df12-40da-b33d-9f851cc0f6bc</errorID>
      <errorWord>医保格局</errorWord>
      <group>L1_Knowledge</group>
      <groupName>知识性问题</groupName>
      <ability>L2_Organization</ability>
      <abilityName>机构检查</abilityName>
      <candidateList>
        <item>医保局</item>
      </candidateList>
      <explain>机关单位全简称表述错误</explain>
      <paraID>22F89012</paraID>
      <start>204</start>
      <end>208</end>
      <status>ignored</status>
      <modifiedWord/>
      <trackRevisions>false</trackRevisions>
    </reviewItem>
    <reviewItem>
      <errorID>d3ede0c5-484e-474e-8519-e4b78f6ea852</errorID>
      <errorWord>铳筹</errorWord>
      <group>L1_Word</group>
      <groupName>字词问题</groupName>
      <ability>L2_Typo</ability>
      <abilityName>字词错误</abilityName>
      <candidateList>
        <item>统筹</item>
      </candidateList>
      <explain/>
      <paraID>38C06879</paraID>
      <start>84</start>
      <end>86</end>
      <status>modified</status>
      <modifiedWord>统筹</modifiedWord>
      <trackRevisions>false</trackRevisions>
    </reviewItem>
    <reviewItem>
      <errorID>fcd7afbc-7290-4ba0-bea5-6b2a3b3d4691</errorID>
      <errorWord>格</errorWord>
      <group>L1_Word</group>
      <groupName>字词问题</groupName>
      <ability>L2_Typo</ability>
      <abilityName>字词错误</abilityName>
      <candidateList>
        <item>格管</item>
      </candidateList>
      <explain/>
      <paraID>4DF56464</paraID>
      <start>213</start>
      <end>215</end>
      <status>modified</status>
      <modifiedWord>格管</modifiedWord>
      <trackRevisions>false</trackRevisions>
    </reviewItem>
    <reviewItem>
      <errorID>09bdced9-04ed-4def-a127-40447ff1a675</errorID>
      <errorWord>冲顶</errorWord>
      <group>L1_Word</group>
      <groupName>字词问题</groupName>
      <ability>L2_Typo</ability>
      <abilityName>字词错误</abilityName>
      <candidateList>
        <item>冲动</item>
      </candidateList>
      <explain>存在发音相近字词的误用。</explain>
      <paraID>75472E4C</paraID>
      <start>25</start>
      <end>27</end>
      <status>ignored</status>
      <modifiedWord/>
      <trackRevisions>false</trackRevisions>
    </reviewItem>
    <reviewItem>
      <errorID>c5cef02c-81fb-44b9-8bd5-24c71da75182</errorID>
      <errorWord>年</errorWord>
      <group>L1_Word</group>
      <groupName>字词问题</groupName>
      <ability>L2_Typo</ability>
      <abilityName>字词错误</abilityName>
      <candidateList>
        <item>年人</item>
      </candidateList>
      <explain/>
      <paraID>21FEA709</paraID>
      <start>218</start>
      <end>219</end>
      <status>ignored</status>
      <modifiedWord/>
      <trackRevisions>false</trackRevisions>
    </reviewItem>
    <reviewItem>
      <errorID>4fb75687-cc95-42a1-8de2-f0ba6f62998e</errorID>
      <errorWord>异地就医支付</errorWord>
      <group>L1_Political</group>
      <groupName>政治性问题</groupName>
      <ability>L2_Keyword</ability>
      <abilityName>固定表述</abilityName>
      <candidateList>
        <item>异地就医结算</item>
      </candidateList>
      <explain>词汇“异地就医结算”在特定场景下为固定表述形式，请确认此处的“异地就医支付”是否存在不当。</explain>
      <paraID>7607B65C</paraID>
      <start>164</start>
      <end>170</end>
      <status>ignored</status>
      <modifiedWord/>
      <trackRevisions>false</trackRevisions>
    </reviewItem>
    <reviewItem>
      <errorID>aa7e8bca-1f84-48a5-8ab6-57c0df92474b</errorID>
      <errorWord>侯诊</errorWord>
      <group>L1_Word</group>
      <groupName>字词问题</groupName>
      <ability>L2_Typo</ability>
      <abilityName>字词错误</abilityName>
      <candidateList>
        <item>候诊</item>
      </candidateList>
      <explain/>
      <paraID>36D1E635</paraID>
      <start>68</start>
      <end>70</end>
      <status>modified</status>
      <modifiedWord>候诊</modifiedWord>
      <trackRevisions>false</trackRevisions>
    </reviewItem>
    <reviewItem>
      <errorID>47666b55-be89-4710-b71b-2dbce7176cf9</errorID>
      <errorWord>泄露</errorWord>
      <group>L1_Word</group>
      <groupName>字词问题</groupName>
      <ability>L2_Typo</ability>
      <abilityName>字词错误</abilityName>
      <candidateList>
        <item>泄漏</item>
      </candidateList>
      <explain/>
      <paraID>53AF6434</paraID>
      <start>211</start>
      <end>213</end>
      <status>modified</status>
      <modifiedWord>泄漏</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c47b3d-df4d-41fa-a28d-97e1e2f40ccf}">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728</Words>
  <Characters>737</Characters>
  <Lines>0</Lines>
  <Paragraphs>0</Paragraphs>
  <TotalTime>18</TotalTime>
  <ScaleCrop>false</ScaleCrop>
  <LinksUpToDate>false</LinksUpToDate>
  <CharactersWithSpaces>737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2026-01-29T08:05:00Z</dcterms:created>
  <dc:creator> 魏海玲</dc:creator>
  <cp:lastModifiedBy> 魏海玲</cp:lastModifiedBy>
  <cp:lastPrinted>2026-09-07T09:24:00Z</cp:lastPrinted>
  <dcterms:modified xsi:type="dcterms:W3CDTF">2026-09-09T03:07:53Z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BC9FC213545E4EA3B422F12624424ED2_13</vt:lpwstr>
  </property>
  <property fmtid="{D5CDD505-2E9C-101B-9397-08002B2CF9AE}" pid="4" name="KSOTemplateDocerSaveRecord">
    <vt:lpwstr>eyJoZGlkIjoiYzJlOGZkNzIxMzJmNTc0N2Y5YjRjNzEwZmRiYTNiNTUiLCJ1c2VySWQiOiI0NDQ5NjQwMDYifQ==</vt:lpwstr>
  </property>
</Properties>
</file>